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E9B" w:rsidRDefault="00817E9B">
      <w:pPr>
        <w:rPr>
          <w:u w:val="single"/>
        </w:rPr>
      </w:pPr>
      <w:r>
        <w:rPr>
          <w:u w:val="single"/>
        </w:rPr>
        <w:t xml:space="preserve">Medicare </w:t>
      </w:r>
      <w:r w:rsidR="00A863CC">
        <w:rPr>
          <w:u w:val="single"/>
        </w:rPr>
        <w:t>Buy-In</w:t>
      </w:r>
      <w:r>
        <w:rPr>
          <w:u w:val="single"/>
        </w:rPr>
        <w:t xml:space="preserve"> 202</w:t>
      </w:r>
      <w:r w:rsidR="008C7A31">
        <w:rPr>
          <w:u w:val="single"/>
        </w:rPr>
        <w:t xml:space="preserve"> (Advanced)</w:t>
      </w:r>
      <w:r>
        <w:rPr>
          <w:u w:val="single"/>
        </w:rPr>
        <w:t xml:space="preserve"> Training</w:t>
      </w:r>
    </w:p>
    <w:p w:rsidR="00817E9B" w:rsidRDefault="00817E9B">
      <w:pPr>
        <w:rPr>
          <w:u w:val="single"/>
        </w:rPr>
      </w:pPr>
    </w:p>
    <w:p w:rsidR="00817E9B" w:rsidRPr="00817E9B" w:rsidRDefault="00817E9B">
      <w:r w:rsidRPr="00817E9B">
        <w:t>SSA Disconnect</w:t>
      </w:r>
    </w:p>
    <w:p w:rsidR="00817E9B" w:rsidRDefault="00817E9B">
      <w:pPr>
        <w:rPr>
          <w:u w:val="single"/>
        </w:rPr>
      </w:pPr>
    </w:p>
    <w:p w:rsidR="00817E9B" w:rsidRPr="00817E9B" w:rsidRDefault="00817E9B">
      <w:r w:rsidRPr="00817E9B">
        <w:t>First Name Truncation</w:t>
      </w:r>
      <w:r w:rsidR="0000506F">
        <w:t xml:space="preserve"> 16 characters:  too long</w:t>
      </w:r>
    </w:p>
    <w:p w:rsidR="00817E9B" w:rsidRDefault="00817E9B"/>
    <w:p w:rsidR="0000506F" w:rsidRDefault="008560D7">
      <w:r>
        <w:t>Transaction Stop Dates</w:t>
      </w:r>
    </w:p>
    <w:p w:rsidR="00FC651F" w:rsidRDefault="00FC651F"/>
    <w:p w:rsidR="00FC651F" w:rsidRDefault="00FC651F">
      <w:r>
        <w:t>“01/01/0001” Dates.</w:t>
      </w:r>
    </w:p>
    <w:p w:rsidR="00654B5A" w:rsidRDefault="00654B5A"/>
    <w:p w:rsidR="00654B5A" w:rsidRDefault="00A863CC">
      <w:r>
        <w:t>Buy-In</w:t>
      </w:r>
      <w:r w:rsidR="00654B5A">
        <w:t xml:space="preserve"> Eligibility Codes</w:t>
      </w:r>
    </w:p>
    <w:p w:rsidR="00642F8D" w:rsidRDefault="00642F8D"/>
    <w:p w:rsidR="00642F8D" w:rsidRDefault="00642F8D">
      <w:r>
        <w:t>Transaction Codes 15, 16, 1728</w:t>
      </w:r>
    </w:p>
    <w:p w:rsidR="00642F8D" w:rsidRDefault="00642F8D"/>
    <w:p w:rsidR="00642F8D" w:rsidRPr="00817E9B" w:rsidRDefault="00642F8D">
      <w:r>
        <w:t>When 2</w:t>
      </w:r>
      <w:r w:rsidR="00456FDF">
        <w:t xml:space="preserve"> (or more)</w:t>
      </w:r>
      <w:r>
        <w:t xml:space="preserve"> RIC Bs Are Received on the Same Date</w:t>
      </w:r>
    </w:p>
    <w:p w:rsidR="00817E9B" w:rsidRDefault="00817E9B">
      <w:pPr>
        <w:rPr>
          <w:u w:val="single"/>
        </w:rPr>
      </w:pPr>
      <w:r>
        <w:rPr>
          <w:u w:val="single"/>
        </w:rPr>
        <w:br w:type="page"/>
      </w:r>
    </w:p>
    <w:p w:rsidR="0000506F" w:rsidRPr="004B38AB" w:rsidRDefault="00762AD6" w:rsidP="004B38AB">
      <w:pPr>
        <w:jc w:val="center"/>
        <w:rPr>
          <w:u w:val="single"/>
        </w:rPr>
      </w:pPr>
      <w:r w:rsidRPr="004B38AB">
        <w:rPr>
          <w:u w:val="single"/>
        </w:rPr>
        <w:lastRenderedPageBreak/>
        <w:t>“SSA Disconnect”</w:t>
      </w:r>
    </w:p>
    <w:p w:rsidR="00762AD6" w:rsidRDefault="00762AD6"/>
    <w:p w:rsidR="00762AD6" w:rsidRDefault="00805E2B">
      <w:r w:rsidRPr="0098574D">
        <w:rPr>
          <w:u w:val="single"/>
        </w:rPr>
        <w:t>What This Means</w:t>
      </w:r>
      <w:r>
        <w:t xml:space="preserve">:  </w:t>
      </w:r>
      <w:r w:rsidR="00762AD6">
        <w:t xml:space="preserve">If the most recent RIC B in the </w:t>
      </w:r>
      <w:r w:rsidR="00A863CC">
        <w:t>Buy-In</w:t>
      </w:r>
      <w:r w:rsidR="00762AD6">
        <w:t xml:space="preserve"> Summary is 11XX or 41, and the date sent/received is current (within the last month), but the Master Beneficiary Record (MBR) does not show active </w:t>
      </w:r>
      <w:r w:rsidR="00A863CC">
        <w:t>Buy-In</w:t>
      </w:r>
      <w:r w:rsidR="00762AD6">
        <w:t xml:space="preserve"> (if the SMI </w:t>
      </w:r>
      <w:r w:rsidR="00A863CC">
        <w:t>Buy-In</w:t>
      </w:r>
      <w:r w:rsidR="00762AD6">
        <w:t xml:space="preserve"> section on the Medicare tab in SVES is blank), this indicates a “disconnect” between the Third Party Master (the </w:t>
      </w:r>
      <w:r w:rsidR="00A863CC">
        <w:t>Buy-In</w:t>
      </w:r>
      <w:r w:rsidR="00762AD6">
        <w:t xml:space="preserve"> part of SSA’s system) and the Master Beneficiary Record (the payment part of SSA’s system).  i.e., the TPM does not communicate with the MBR, so the client does not get his/her refund and the Part B premium continues to be deducted from his/her SSA check.</w:t>
      </w:r>
    </w:p>
    <w:p w:rsidR="00805E2B" w:rsidRDefault="00805E2B"/>
    <w:p w:rsidR="00805E2B" w:rsidRDefault="008B3211">
      <w:r w:rsidRPr="0098574D">
        <w:rPr>
          <w:u w:val="single"/>
        </w:rPr>
        <w:t>Steps to Fix It</w:t>
      </w:r>
      <w:r>
        <w:t>:</w:t>
      </w:r>
    </w:p>
    <w:p w:rsidR="008B3211" w:rsidRDefault="008B3211"/>
    <w:p w:rsidR="008B3211" w:rsidRDefault="008B3211" w:rsidP="0098574D">
      <w:pPr>
        <w:pStyle w:val="ListParagraph"/>
        <w:numPr>
          <w:ilvl w:val="0"/>
          <w:numId w:val="1"/>
        </w:numPr>
      </w:pPr>
      <w:r>
        <w:t>Contact the local SSO and speak to a Title 2 specialist.</w:t>
      </w:r>
    </w:p>
    <w:p w:rsidR="008B3211" w:rsidRDefault="008B3211"/>
    <w:p w:rsidR="008B3211" w:rsidRDefault="008B3211" w:rsidP="0098574D">
      <w:pPr>
        <w:pStyle w:val="ListParagraph"/>
        <w:numPr>
          <w:ilvl w:val="0"/>
          <w:numId w:val="1"/>
        </w:numPr>
      </w:pPr>
      <w:r>
        <w:t xml:space="preserve">Tell the T2 specialist that Part B </w:t>
      </w:r>
      <w:r w:rsidR="00A863CC">
        <w:t>Buy-In</w:t>
      </w:r>
      <w:r>
        <w:t xml:space="preserve"> is ongoing (CO is indeed paying the Part B premiums), but the MBR does not show </w:t>
      </w:r>
      <w:r w:rsidR="00A863CC">
        <w:t>Buy-In</w:t>
      </w:r>
      <w:r>
        <w:t>.</w:t>
      </w:r>
    </w:p>
    <w:p w:rsidR="008B3211" w:rsidRDefault="008B3211"/>
    <w:p w:rsidR="008B3211" w:rsidRDefault="008B3211" w:rsidP="0098574D">
      <w:pPr>
        <w:pStyle w:val="ListParagraph"/>
        <w:numPr>
          <w:ilvl w:val="0"/>
          <w:numId w:val="1"/>
        </w:numPr>
      </w:pPr>
      <w:r>
        <w:t>Request the T2 specialist to send an MDW Memo to the Payment Center and let you know when it has been sent.</w:t>
      </w:r>
    </w:p>
    <w:p w:rsidR="008B3211" w:rsidRDefault="008B3211"/>
    <w:p w:rsidR="008B3211" w:rsidRDefault="002A01E1" w:rsidP="0098574D">
      <w:pPr>
        <w:pStyle w:val="ListParagraph"/>
        <w:numPr>
          <w:ilvl w:val="0"/>
          <w:numId w:val="1"/>
        </w:numPr>
      </w:pPr>
      <w:r>
        <w:t>Tell the client to contact the local SSO if he/she has not heard from SSA 30 days after the MDW memo was sent.</w:t>
      </w:r>
    </w:p>
    <w:p w:rsidR="002A01E1" w:rsidRDefault="002A01E1"/>
    <w:p w:rsidR="002A01E1" w:rsidRDefault="002A01E1" w:rsidP="0098574D">
      <w:pPr>
        <w:pStyle w:val="ListParagraph"/>
        <w:numPr>
          <w:ilvl w:val="0"/>
          <w:numId w:val="1"/>
        </w:numPr>
      </w:pPr>
      <w:r>
        <w:t xml:space="preserve">You may need to “coach” the T2 specialist on where to look in SSA’s </w:t>
      </w:r>
      <w:r w:rsidR="004419DE">
        <w:t>sy</w:t>
      </w:r>
      <w:r>
        <w:t xml:space="preserve">stem to see the </w:t>
      </w:r>
      <w:r w:rsidR="00A863CC">
        <w:t>Buy-In</w:t>
      </w:r>
      <w:r>
        <w:t xml:space="preserve"> on the TPM:</w:t>
      </w:r>
    </w:p>
    <w:p w:rsidR="002A01E1" w:rsidRDefault="002A01E1"/>
    <w:p w:rsidR="002A01E1" w:rsidRDefault="00E5755A" w:rsidP="0098574D">
      <w:pPr>
        <w:pStyle w:val="ListParagraph"/>
        <w:numPr>
          <w:ilvl w:val="1"/>
          <w:numId w:val="2"/>
        </w:numPr>
      </w:pPr>
      <w:r>
        <w:t>Go to the SMI Third Party Query on HIQR.</w:t>
      </w:r>
    </w:p>
    <w:p w:rsidR="00E5755A" w:rsidRDefault="00E5755A" w:rsidP="0098574D">
      <w:pPr>
        <w:pStyle w:val="ListParagraph"/>
        <w:numPr>
          <w:ilvl w:val="1"/>
          <w:numId w:val="2"/>
        </w:numPr>
      </w:pPr>
      <w:r>
        <w:t>Go to the History Subtab.</w:t>
      </w:r>
    </w:p>
    <w:p w:rsidR="00E5755A" w:rsidRDefault="00E5755A" w:rsidP="0098574D">
      <w:pPr>
        <w:pStyle w:val="ListParagraph"/>
        <w:numPr>
          <w:ilvl w:val="1"/>
          <w:numId w:val="2"/>
        </w:numPr>
      </w:pPr>
      <w:r>
        <w:t>Select #4.</w:t>
      </w:r>
    </w:p>
    <w:p w:rsidR="00E5755A" w:rsidRDefault="00E5755A" w:rsidP="0098574D">
      <w:pPr>
        <w:pStyle w:val="ListParagraph"/>
        <w:numPr>
          <w:ilvl w:val="1"/>
          <w:numId w:val="2"/>
        </w:numPr>
      </w:pPr>
      <w:r>
        <w:t>Then Select #2 to get to the STPQ.</w:t>
      </w:r>
    </w:p>
    <w:p w:rsidR="0000506F" w:rsidRDefault="00E5755A" w:rsidP="0098574D">
      <w:pPr>
        <w:pStyle w:val="ListParagraph"/>
        <w:numPr>
          <w:ilvl w:val="1"/>
          <w:numId w:val="2"/>
        </w:numPr>
      </w:pPr>
      <w:r>
        <w:t xml:space="preserve">See CO’s ongoing </w:t>
      </w:r>
      <w:r w:rsidR="00A863CC">
        <w:t>Buy-In</w:t>
      </w:r>
      <w:r>
        <w:t xml:space="preserve"> on the Third Party Master.</w:t>
      </w:r>
    </w:p>
    <w:p w:rsidR="0000506F" w:rsidRDefault="0000506F">
      <w:r>
        <w:br w:type="page"/>
      </w:r>
    </w:p>
    <w:p w:rsidR="00E5755A" w:rsidRPr="0000506F" w:rsidRDefault="0000506F" w:rsidP="0000506F">
      <w:pPr>
        <w:jc w:val="center"/>
        <w:rPr>
          <w:u w:val="single"/>
        </w:rPr>
      </w:pPr>
      <w:r w:rsidRPr="0000506F">
        <w:rPr>
          <w:u w:val="single"/>
        </w:rPr>
        <w:lastRenderedPageBreak/>
        <w:t>First Name Truncation</w:t>
      </w:r>
    </w:p>
    <w:p w:rsidR="0000506F" w:rsidRDefault="0000506F" w:rsidP="0000506F"/>
    <w:p w:rsidR="0000506F" w:rsidRDefault="0000506F" w:rsidP="0000506F">
      <w:pPr>
        <w:rPr>
          <w:u w:val="single"/>
        </w:rPr>
      </w:pPr>
      <w:r w:rsidRPr="0000506F">
        <w:rPr>
          <w:u w:val="single"/>
        </w:rPr>
        <w:t>What This Means</w:t>
      </w:r>
    </w:p>
    <w:p w:rsidR="0000506F" w:rsidRPr="0000506F" w:rsidRDefault="0000506F" w:rsidP="0000506F"/>
    <w:p w:rsidR="0000506F" w:rsidRDefault="0000506F" w:rsidP="0000506F">
      <w:r w:rsidRPr="0000506F">
        <w:t xml:space="preserve">When </w:t>
      </w:r>
      <w:r>
        <w:t>the last name is “too long”, SSA truncates the first name to the first initial and drops the middle initial when SSA creates the Medicare eligibility file SSA sends to CMS.</w:t>
      </w:r>
    </w:p>
    <w:p w:rsidR="0000506F" w:rsidRDefault="0000506F" w:rsidP="0000506F"/>
    <w:p w:rsidR="00A05AE5" w:rsidRDefault="0000506F" w:rsidP="0000506F">
      <w:r>
        <w:t xml:space="preserve">SSA has never defined “too long,” but by process of elimination, 16 characters is </w:t>
      </w:r>
      <w:r w:rsidR="00990B05">
        <w:t xml:space="preserve">usually (not always) </w:t>
      </w:r>
      <w:r>
        <w:t xml:space="preserve">too long.  </w:t>
      </w:r>
    </w:p>
    <w:p w:rsidR="00A05AE5" w:rsidRDefault="00A05AE5" w:rsidP="0000506F"/>
    <w:p w:rsidR="00A05AE5" w:rsidRDefault="00A05AE5" w:rsidP="0000506F">
      <w:r w:rsidRPr="00A05AE5">
        <w:rPr>
          <w:u w:val="single"/>
        </w:rPr>
        <w:t>How to Fix It</w:t>
      </w:r>
      <w:r>
        <w:t>:</w:t>
      </w:r>
    </w:p>
    <w:p w:rsidR="00A05AE5" w:rsidRDefault="00A05AE5" w:rsidP="0000506F"/>
    <w:p w:rsidR="0000506F" w:rsidRDefault="0000506F" w:rsidP="0000506F">
      <w:r>
        <w:t>SOLQ will give you a “hint” that the first name will be truncated when th</w:t>
      </w:r>
      <w:r w:rsidR="007D7592">
        <w:t xml:space="preserve">e Payee Name wraps to 2 lines, but this is not 100% reliable.  Only IACS will tell for sure.  </w:t>
      </w:r>
      <w:r w:rsidR="00990B05">
        <w:t xml:space="preserve">(e.g., V J W </w:t>
      </w:r>
      <w:r w:rsidR="003833E0">
        <w:t>W698368</w:t>
      </w:r>
      <w:r w:rsidR="00990B05">
        <w:t>:  payee name wrapped in SOLQ &amp; last name &gt;16 characters, but in IACS last name truncated to J</w:t>
      </w:r>
      <w:r w:rsidR="005448BB">
        <w:t>------</w:t>
      </w:r>
      <w:r w:rsidR="00990B05">
        <w:t xml:space="preserve"> W</w:t>
      </w:r>
      <w:r w:rsidR="005448BB">
        <w:t>---</w:t>
      </w:r>
      <w:r w:rsidR="00990B05">
        <w:t>, first name V</w:t>
      </w:r>
      <w:r w:rsidR="005448BB">
        <w:t>-----</w:t>
      </w:r>
      <w:bookmarkStart w:id="0" w:name="_GoBack"/>
      <w:bookmarkEnd w:id="0"/>
      <w:r w:rsidR="00990B05">
        <w:t xml:space="preserve">, middle initial L).  </w:t>
      </w:r>
      <w:r w:rsidR="007D7592">
        <w:t xml:space="preserve">Call State </w:t>
      </w:r>
      <w:r w:rsidR="00A863CC">
        <w:t>Buy-In</w:t>
      </w:r>
      <w:r w:rsidR="007D7592">
        <w:t xml:space="preserve"> staff to verify the name CMS has in IACS.</w:t>
      </w:r>
    </w:p>
    <w:p w:rsidR="00A05AE5" w:rsidRDefault="00A05AE5" w:rsidP="0000506F"/>
    <w:p w:rsidR="00A05AE5" w:rsidRDefault="00C65F9B" w:rsidP="0000506F">
      <w:r>
        <w:t xml:space="preserve">If IACS indicates the first name is truncated, you must update the CBMS name to the first initial only and delete the middle name/initial.  Let State </w:t>
      </w:r>
      <w:r w:rsidR="00A863CC">
        <w:t>Buy-In</w:t>
      </w:r>
      <w:r>
        <w:t xml:space="preserve"> staff know to resubmit.</w:t>
      </w:r>
    </w:p>
    <w:p w:rsidR="008560D7" w:rsidRDefault="008560D7" w:rsidP="0000506F"/>
    <w:p w:rsidR="008560D7" w:rsidRDefault="008560D7" w:rsidP="0000506F"/>
    <w:p w:rsidR="008560D7" w:rsidRPr="008560D7" w:rsidRDefault="008560D7" w:rsidP="008560D7">
      <w:pPr>
        <w:jc w:val="center"/>
        <w:rPr>
          <w:u w:val="single"/>
        </w:rPr>
      </w:pPr>
      <w:r w:rsidRPr="008560D7">
        <w:rPr>
          <w:u w:val="single"/>
        </w:rPr>
        <w:t>Transaction Stop Dates</w:t>
      </w:r>
    </w:p>
    <w:p w:rsidR="008560D7" w:rsidRDefault="008560D7" w:rsidP="0000506F"/>
    <w:p w:rsidR="008560D7" w:rsidRDefault="008560D7" w:rsidP="0000506F">
      <w:r>
        <w:t xml:space="preserve">11XX transactions will always have a TXN Stop Date:  the last day of the bill month.  The 11XX transactions initiate </w:t>
      </w:r>
      <w:r w:rsidR="00A863CC">
        <w:t>Buy-In</w:t>
      </w:r>
      <w:r>
        <w:t xml:space="preserve">, and CMS bills us </w:t>
      </w:r>
      <w:r w:rsidR="00BD353B">
        <w:t xml:space="preserve">a lump sum </w:t>
      </w:r>
      <w:r>
        <w:t xml:space="preserve">for the premium months from the </w:t>
      </w:r>
      <w:r w:rsidR="00A863CC">
        <w:t>Buy-In</w:t>
      </w:r>
      <w:r>
        <w:t xml:space="preserve"> Begin Date through the end of the current bill month.  CMS bills us a month in advance, so an 11XX RIC D received during March 2014 will have its “mate,” the 11XX RIC B post to MMIS the first Thursday in April 2014 (4/3/2014).  The 11XX RIC B received 4/3/2014 bills us through the end of May 2014, so the TXN Stop Date is 5/31/2014.  Then every month thereafter we will get a TXN 41 RIC B to bill us for that current </w:t>
      </w:r>
      <w:r w:rsidR="00BD353B">
        <w:t>bill month.  The 41 RIC B received 5/1/2014 bills us for t</w:t>
      </w:r>
      <w:r w:rsidR="00EA313E">
        <w:t xml:space="preserve">he June 2014 premium, and so on, until we receive a </w:t>
      </w:r>
      <w:r w:rsidR="00A863CC">
        <w:t>Buy-In</w:t>
      </w:r>
      <w:r w:rsidR="00EA313E">
        <w:t xml:space="preserve"> Termination transaction (e.g., 1751, 1728, 15, 16).</w:t>
      </w:r>
    </w:p>
    <w:p w:rsidR="00EA313E" w:rsidRDefault="00EA313E" w:rsidP="0000506F"/>
    <w:p w:rsidR="00EA313E" w:rsidRDefault="00EA313E" w:rsidP="0000506F">
      <w:r>
        <w:t xml:space="preserve">The TXN 41 RIC Bs have a TXN Stop Date of 12/31/9999 to indicate ongoing </w:t>
      </w:r>
      <w:r w:rsidR="00A863CC">
        <w:t>Buy-In</w:t>
      </w:r>
      <w:r>
        <w:t>.</w:t>
      </w:r>
    </w:p>
    <w:p w:rsidR="00FC651F" w:rsidRDefault="00FC651F" w:rsidP="0000506F"/>
    <w:p w:rsidR="00FC651F" w:rsidRDefault="00FC651F" w:rsidP="0000506F"/>
    <w:p w:rsidR="00CD1563" w:rsidRDefault="00CD1563">
      <w:pPr>
        <w:rPr>
          <w:u w:val="single"/>
        </w:rPr>
      </w:pPr>
      <w:r>
        <w:rPr>
          <w:u w:val="single"/>
        </w:rPr>
        <w:br w:type="page"/>
      </w:r>
    </w:p>
    <w:p w:rsidR="00FC651F" w:rsidRPr="007668E7" w:rsidRDefault="007668E7" w:rsidP="007668E7">
      <w:pPr>
        <w:jc w:val="center"/>
        <w:rPr>
          <w:u w:val="single"/>
        </w:rPr>
      </w:pPr>
      <w:r w:rsidRPr="007668E7">
        <w:rPr>
          <w:u w:val="single"/>
        </w:rPr>
        <w:lastRenderedPageBreak/>
        <w:t>“01/01/0001” Dates</w:t>
      </w:r>
    </w:p>
    <w:p w:rsidR="007668E7" w:rsidRDefault="007668E7" w:rsidP="0000506F"/>
    <w:p w:rsidR="007668E7" w:rsidRDefault="007668E7" w:rsidP="0000506F">
      <w:r>
        <w:t>“01/01/0001” is the default low date in MMIS.  In MMIS, the DB2 tables will not allow a blank or null date.  The “01/01/0001” indicates what would otherwise be a blank date.</w:t>
      </w:r>
    </w:p>
    <w:p w:rsidR="007668E7" w:rsidRDefault="007668E7" w:rsidP="0000506F"/>
    <w:p w:rsidR="007668E7" w:rsidRDefault="007668E7" w:rsidP="0000506F">
      <w:r>
        <w:t>A RIC S created by one of us manually will have a Date Sent of 01/01/0001 until it is actually sent to CMS on the following Sunday.  Once the RIC S is sent, the Date Sent of 01/01/0001 will be replaced by the actual date sent.</w:t>
      </w:r>
    </w:p>
    <w:p w:rsidR="007668E7" w:rsidRDefault="007668E7" w:rsidP="0000506F"/>
    <w:p w:rsidR="007668E7" w:rsidRDefault="007668E7" w:rsidP="0000506F">
      <w:r>
        <w:t xml:space="preserve">A TXN 61 RIC S will always have a TXN Stop Date of 01/01/0001 because it requests ongoing </w:t>
      </w:r>
      <w:r w:rsidR="00A863CC">
        <w:t>Buy-In</w:t>
      </w:r>
      <w:r>
        <w:t>, so it will have a TXN Start Date but no TXN Stop Date.</w:t>
      </w:r>
    </w:p>
    <w:p w:rsidR="007668E7" w:rsidRDefault="007668E7" w:rsidP="0000506F"/>
    <w:p w:rsidR="007668E7" w:rsidRDefault="007668E7" w:rsidP="0000506F">
      <w:r>
        <w:t xml:space="preserve">A TXN 51 or 53 RIC S will always have a TXN Start Date of 01/01/0001 because </w:t>
      </w:r>
      <w:r w:rsidR="00804391">
        <w:t>they</w:t>
      </w:r>
      <w:r>
        <w:t xml:space="preserve"> request </w:t>
      </w:r>
      <w:r w:rsidR="00A863CC">
        <w:t>Buy-In</w:t>
      </w:r>
      <w:r w:rsidR="00804391">
        <w:t xml:space="preserve"> to </w:t>
      </w:r>
      <w:r w:rsidR="00CD63CA">
        <w:t>stop</w:t>
      </w:r>
      <w:r w:rsidR="00804391">
        <w:t>, so they will have a TXN Stop Date but no TXN Start Date.</w:t>
      </w:r>
    </w:p>
    <w:p w:rsidR="00804391" w:rsidRDefault="00804391" w:rsidP="0000506F"/>
    <w:p w:rsidR="00804391" w:rsidRDefault="00804391" w:rsidP="0000506F">
      <w:r>
        <w:t xml:space="preserve">A TXN 75 RIC S will have valid dates in both the TXN Start Date and TXN Stop Date because it requests a finite period of </w:t>
      </w:r>
      <w:r w:rsidR="00A863CC">
        <w:t>Buy-In</w:t>
      </w:r>
      <w:r>
        <w:t>, with both a Start Date and a Stop Date.</w:t>
      </w:r>
    </w:p>
    <w:p w:rsidR="00654B5A" w:rsidRDefault="00654B5A" w:rsidP="0000506F"/>
    <w:p w:rsidR="00654B5A" w:rsidRDefault="00654B5A" w:rsidP="0000506F"/>
    <w:p w:rsidR="00A103F3" w:rsidRPr="00A103F3" w:rsidRDefault="00A863CC" w:rsidP="00A103F3">
      <w:pPr>
        <w:jc w:val="center"/>
        <w:rPr>
          <w:u w:val="single"/>
        </w:rPr>
      </w:pPr>
      <w:r>
        <w:rPr>
          <w:u w:val="single"/>
        </w:rPr>
        <w:t>Buy-In</w:t>
      </w:r>
      <w:r w:rsidR="00A103F3" w:rsidRPr="00A103F3">
        <w:rPr>
          <w:u w:val="single"/>
        </w:rPr>
        <w:t xml:space="preserve"> Eligibility Codes (BEC)</w:t>
      </w:r>
    </w:p>
    <w:p w:rsidR="00A103F3" w:rsidRDefault="00A103F3" w:rsidP="0000506F"/>
    <w:p w:rsidR="00A103F3" w:rsidRDefault="00A863CC" w:rsidP="0000506F">
      <w:r>
        <w:t>Buy-In</w:t>
      </w:r>
      <w:r w:rsidR="00A103F3">
        <w:t xml:space="preserve"> Eligibility Codes (BEC or Elig in the </w:t>
      </w:r>
      <w:r>
        <w:t>Buy-In</w:t>
      </w:r>
      <w:r w:rsidR="00A103F3">
        <w:t xml:space="preserve"> Summary screen) are a single alpha character code that indicates the client’s eligibility type.  Certain codes are allocated for State use; other codes are reserved for CMS’ use.</w:t>
      </w:r>
    </w:p>
    <w:p w:rsidR="00A103F3" w:rsidRDefault="00A103F3" w:rsidP="0000506F"/>
    <w:tbl>
      <w:tblPr>
        <w:tblStyle w:val="TableGrid"/>
        <w:tblW w:w="0" w:type="auto"/>
        <w:tblLook w:val="04A0" w:firstRow="1" w:lastRow="0" w:firstColumn="1" w:lastColumn="0" w:noHBand="0" w:noVBand="1"/>
      </w:tblPr>
      <w:tblGrid>
        <w:gridCol w:w="468"/>
        <w:gridCol w:w="8620"/>
        <w:gridCol w:w="776"/>
      </w:tblGrid>
      <w:tr w:rsidR="00CE7538" w:rsidRPr="00C759E7" w:rsidTr="00FD6C00">
        <w:tc>
          <w:tcPr>
            <w:tcW w:w="9088" w:type="dxa"/>
            <w:gridSpan w:val="2"/>
          </w:tcPr>
          <w:p w:rsidR="00CE7538" w:rsidRPr="00C759E7" w:rsidRDefault="00CE7538" w:rsidP="007932A6">
            <w:r w:rsidRPr="00C759E7">
              <w:t xml:space="preserve">State-Generated </w:t>
            </w:r>
            <w:r w:rsidR="00A863CC">
              <w:t>Buy-In</w:t>
            </w:r>
            <w:r w:rsidRPr="00C759E7">
              <w:t xml:space="preserve"> Eligibility Codes:</w:t>
            </w:r>
          </w:p>
        </w:tc>
        <w:tc>
          <w:tcPr>
            <w:tcW w:w="776" w:type="dxa"/>
          </w:tcPr>
          <w:p w:rsidR="00CE7538" w:rsidRPr="00C759E7" w:rsidRDefault="00BA28CA" w:rsidP="007932A6">
            <w:r>
              <w:t>FFP?</w:t>
            </w:r>
          </w:p>
        </w:tc>
      </w:tr>
      <w:tr w:rsidR="00CE7538" w:rsidRPr="00C759E7" w:rsidTr="00FD6C00">
        <w:tc>
          <w:tcPr>
            <w:tcW w:w="468" w:type="dxa"/>
          </w:tcPr>
          <w:p w:rsidR="00CE7538" w:rsidRPr="00C759E7" w:rsidRDefault="00CE7538" w:rsidP="007932A6"/>
        </w:tc>
        <w:tc>
          <w:tcPr>
            <w:tcW w:w="8620" w:type="dxa"/>
          </w:tcPr>
          <w:p w:rsidR="00CE7538" w:rsidRPr="00C759E7" w:rsidRDefault="00CE7538" w:rsidP="007932A6"/>
        </w:tc>
        <w:tc>
          <w:tcPr>
            <w:tcW w:w="776" w:type="dxa"/>
          </w:tcPr>
          <w:p w:rsidR="00CE7538" w:rsidRPr="00C759E7" w:rsidRDefault="00CE7538" w:rsidP="007932A6"/>
        </w:tc>
      </w:tr>
      <w:tr w:rsidR="00CE7538" w:rsidRPr="00C759E7" w:rsidTr="00FD6C00">
        <w:tc>
          <w:tcPr>
            <w:tcW w:w="468" w:type="dxa"/>
          </w:tcPr>
          <w:p w:rsidR="00CE7538" w:rsidRPr="00C759E7" w:rsidRDefault="00CE7538" w:rsidP="007932A6">
            <w:r>
              <w:t>C</w:t>
            </w:r>
          </w:p>
        </w:tc>
        <w:tc>
          <w:tcPr>
            <w:tcW w:w="8620" w:type="dxa"/>
          </w:tcPr>
          <w:p w:rsidR="00CE7538" w:rsidRPr="00C759E7" w:rsidRDefault="00CE7538" w:rsidP="007932A6">
            <w:r w:rsidRPr="00C759E7">
              <w:t>entitled to Part A of Title IV (AFDC)</w:t>
            </w:r>
          </w:p>
        </w:tc>
        <w:tc>
          <w:tcPr>
            <w:tcW w:w="776" w:type="dxa"/>
          </w:tcPr>
          <w:p w:rsidR="00CE7538" w:rsidRPr="00C759E7" w:rsidRDefault="00BA28CA" w:rsidP="007932A6">
            <w:r>
              <w:t>50%</w:t>
            </w:r>
          </w:p>
        </w:tc>
      </w:tr>
      <w:tr w:rsidR="00CE7538" w:rsidRPr="00C759E7" w:rsidTr="00FD6C00">
        <w:tc>
          <w:tcPr>
            <w:tcW w:w="468" w:type="dxa"/>
          </w:tcPr>
          <w:p w:rsidR="00CE7538" w:rsidRPr="00C759E7" w:rsidRDefault="00CE7538" w:rsidP="007932A6">
            <w:r>
              <w:t>L</w:t>
            </w:r>
          </w:p>
        </w:tc>
        <w:tc>
          <w:tcPr>
            <w:tcW w:w="8620" w:type="dxa"/>
          </w:tcPr>
          <w:p w:rsidR="00CE7538" w:rsidRPr="00C759E7" w:rsidRDefault="00CE7538" w:rsidP="007932A6">
            <w:r w:rsidRPr="00C759E7">
              <w:t>Specified Low Income Medicare Beneficiary (SLMB)</w:t>
            </w:r>
          </w:p>
        </w:tc>
        <w:tc>
          <w:tcPr>
            <w:tcW w:w="776" w:type="dxa"/>
          </w:tcPr>
          <w:p w:rsidR="00CE7538" w:rsidRPr="00C759E7" w:rsidRDefault="00BA28CA" w:rsidP="007932A6">
            <w:r>
              <w:t>50%</w:t>
            </w:r>
          </w:p>
        </w:tc>
      </w:tr>
      <w:tr w:rsidR="00CE7538" w:rsidRPr="00C759E7" w:rsidTr="00FD6C00">
        <w:tc>
          <w:tcPr>
            <w:tcW w:w="468" w:type="dxa"/>
          </w:tcPr>
          <w:p w:rsidR="00CE7538" w:rsidRPr="00C759E7" w:rsidRDefault="00CE7538" w:rsidP="007932A6">
            <w:r>
              <w:t>M</w:t>
            </w:r>
          </w:p>
        </w:tc>
        <w:tc>
          <w:tcPr>
            <w:tcW w:w="8620" w:type="dxa"/>
          </w:tcPr>
          <w:p w:rsidR="00CE7538" w:rsidRPr="00C759E7" w:rsidRDefault="00CE7538" w:rsidP="007932A6">
            <w:r w:rsidRPr="00C759E7">
              <w:t>entitled to Medical Assistance Only (MAO) – (non-cash recipients who are not QMBs)</w:t>
            </w:r>
          </w:p>
        </w:tc>
        <w:tc>
          <w:tcPr>
            <w:tcW w:w="776" w:type="dxa"/>
          </w:tcPr>
          <w:p w:rsidR="00CE7538" w:rsidRPr="00C759E7" w:rsidRDefault="00BA28CA" w:rsidP="007932A6">
            <w:r>
              <w:t>0%</w:t>
            </w:r>
          </w:p>
        </w:tc>
      </w:tr>
      <w:tr w:rsidR="00CE7538" w:rsidRPr="00C759E7" w:rsidTr="00FD6C00">
        <w:tc>
          <w:tcPr>
            <w:tcW w:w="468" w:type="dxa"/>
          </w:tcPr>
          <w:p w:rsidR="00CE7538" w:rsidRPr="00C759E7" w:rsidRDefault="00CE7538" w:rsidP="007932A6">
            <w:r>
              <w:t>P</w:t>
            </w:r>
          </w:p>
        </w:tc>
        <w:tc>
          <w:tcPr>
            <w:tcW w:w="8620" w:type="dxa"/>
          </w:tcPr>
          <w:p w:rsidR="00CE7538" w:rsidRPr="00C759E7" w:rsidRDefault="00CE7538" w:rsidP="007932A6">
            <w:r w:rsidRPr="00C759E7">
              <w:t>Qualified Medicare Beneficiary (QMB)</w:t>
            </w:r>
          </w:p>
        </w:tc>
        <w:tc>
          <w:tcPr>
            <w:tcW w:w="776" w:type="dxa"/>
          </w:tcPr>
          <w:p w:rsidR="00CE7538" w:rsidRPr="00C759E7" w:rsidRDefault="00BA28CA" w:rsidP="007932A6">
            <w:r>
              <w:t>50%</w:t>
            </w:r>
          </w:p>
        </w:tc>
      </w:tr>
      <w:tr w:rsidR="00CE7538" w:rsidRPr="00C759E7" w:rsidTr="00FD6C00">
        <w:tc>
          <w:tcPr>
            <w:tcW w:w="468" w:type="dxa"/>
          </w:tcPr>
          <w:p w:rsidR="00CE7538" w:rsidRPr="00C759E7" w:rsidRDefault="00CE7538" w:rsidP="007932A6">
            <w:r>
              <w:t>U</w:t>
            </w:r>
          </w:p>
        </w:tc>
        <w:tc>
          <w:tcPr>
            <w:tcW w:w="8620" w:type="dxa"/>
          </w:tcPr>
          <w:p w:rsidR="00CE7538" w:rsidRPr="00C759E7" w:rsidRDefault="00CE7538" w:rsidP="007932A6">
            <w:r w:rsidRPr="00C759E7">
              <w:t>Qualifying Individuals-1 (QI-1)</w:t>
            </w:r>
          </w:p>
        </w:tc>
        <w:tc>
          <w:tcPr>
            <w:tcW w:w="776" w:type="dxa"/>
          </w:tcPr>
          <w:p w:rsidR="00CE7538" w:rsidRPr="00C759E7" w:rsidRDefault="00BA28CA" w:rsidP="007932A6">
            <w:r>
              <w:t>100%</w:t>
            </w:r>
          </w:p>
        </w:tc>
      </w:tr>
      <w:tr w:rsidR="00CE7538" w:rsidRPr="00C759E7" w:rsidTr="00FD6C00">
        <w:tc>
          <w:tcPr>
            <w:tcW w:w="468" w:type="dxa"/>
          </w:tcPr>
          <w:p w:rsidR="00CE7538" w:rsidRPr="00C759E7" w:rsidRDefault="00CE7538" w:rsidP="007932A6">
            <w:r>
              <w:t>Z</w:t>
            </w:r>
          </w:p>
        </w:tc>
        <w:tc>
          <w:tcPr>
            <w:tcW w:w="8620" w:type="dxa"/>
          </w:tcPr>
          <w:p w:rsidR="00CE7538" w:rsidRPr="00C759E7" w:rsidRDefault="00CE7538" w:rsidP="007932A6">
            <w:r w:rsidRPr="00C759E7">
              <w:t>deemed categorically needy (receiving SSI or OAP)</w:t>
            </w:r>
          </w:p>
        </w:tc>
        <w:tc>
          <w:tcPr>
            <w:tcW w:w="776" w:type="dxa"/>
          </w:tcPr>
          <w:p w:rsidR="00CE7538" w:rsidRPr="00C759E7" w:rsidRDefault="00BA28CA" w:rsidP="007932A6">
            <w:r>
              <w:t>50%</w:t>
            </w:r>
          </w:p>
        </w:tc>
      </w:tr>
      <w:tr w:rsidR="00CE7538" w:rsidRPr="00C759E7" w:rsidTr="00FD6C00">
        <w:tc>
          <w:tcPr>
            <w:tcW w:w="468" w:type="dxa"/>
          </w:tcPr>
          <w:p w:rsidR="00CE7538" w:rsidRPr="00C759E7" w:rsidRDefault="00CE7538" w:rsidP="007932A6"/>
        </w:tc>
        <w:tc>
          <w:tcPr>
            <w:tcW w:w="8620" w:type="dxa"/>
          </w:tcPr>
          <w:p w:rsidR="00CE7538" w:rsidRPr="00C759E7" w:rsidRDefault="00CE7538" w:rsidP="007932A6"/>
        </w:tc>
        <w:tc>
          <w:tcPr>
            <w:tcW w:w="776" w:type="dxa"/>
          </w:tcPr>
          <w:p w:rsidR="00CE7538" w:rsidRPr="00C759E7" w:rsidRDefault="00BA28CA" w:rsidP="007932A6">
            <w:r>
              <w:t>50%</w:t>
            </w:r>
          </w:p>
        </w:tc>
      </w:tr>
      <w:tr w:rsidR="00CE7538" w:rsidRPr="00C759E7" w:rsidTr="00FD6C00">
        <w:tc>
          <w:tcPr>
            <w:tcW w:w="9088" w:type="dxa"/>
            <w:gridSpan w:val="2"/>
          </w:tcPr>
          <w:p w:rsidR="00CE7538" w:rsidRPr="00C759E7" w:rsidRDefault="00CE7538" w:rsidP="007932A6">
            <w:r w:rsidRPr="00C759E7">
              <w:t xml:space="preserve">CMS-Generated </w:t>
            </w:r>
            <w:r w:rsidR="00A863CC">
              <w:t>Buy-In</w:t>
            </w:r>
            <w:r w:rsidRPr="00C759E7">
              <w:t xml:space="preserve"> Eligibility Codes (Based on the SSI Record)</w:t>
            </w:r>
            <w:r>
              <w:t>:</w:t>
            </w:r>
          </w:p>
        </w:tc>
        <w:tc>
          <w:tcPr>
            <w:tcW w:w="776" w:type="dxa"/>
          </w:tcPr>
          <w:p w:rsidR="00CE7538" w:rsidRPr="00C759E7" w:rsidRDefault="00BA28CA" w:rsidP="007932A6">
            <w:r>
              <w:t>50%</w:t>
            </w:r>
          </w:p>
        </w:tc>
      </w:tr>
      <w:tr w:rsidR="00CE7538" w:rsidRPr="00C759E7" w:rsidTr="00FD6C00">
        <w:tc>
          <w:tcPr>
            <w:tcW w:w="468" w:type="dxa"/>
          </w:tcPr>
          <w:p w:rsidR="00CE7538" w:rsidRPr="00C759E7" w:rsidRDefault="00CE7538" w:rsidP="007932A6"/>
        </w:tc>
        <w:tc>
          <w:tcPr>
            <w:tcW w:w="8620" w:type="dxa"/>
          </w:tcPr>
          <w:p w:rsidR="00CE7538" w:rsidRPr="00C759E7" w:rsidRDefault="00CE7538" w:rsidP="007932A6"/>
        </w:tc>
        <w:tc>
          <w:tcPr>
            <w:tcW w:w="776" w:type="dxa"/>
          </w:tcPr>
          <w:p w:rsidR="00CE7538" w:rsidRPr="00C759E7" w:rsidRDefault="00BA28CA" w:rsidP="007932A6">
            <w:r>
              <w:t>50%</w:t>
            </w:r>
          </w:p>
        </w:tc>
      </w:tr>
      <w:tr w:rsidR="00CE7538" w:rsidRPr="00C759E7" w:rsidTr="00FD6C00">
        <w:tc>
          <w:tcPr>
            <w:tcW w:w="468" w:type="dxa"/>
          </w:tcPr>
          <w:p w:rsidR="00CE7538" w:rsidRPr="00C759E7" w:rsidRDefault="00CE7538" w:rsidP="007932A6">
            <w:r>
              <w:t>A</w:t>
            </w:r>
          </w:p>
        </w:tc>
        <w:tc>
          <w:tcPr>
            <w:tcW w:w="8620" w:type="dxa"/>
          </w:tcPr>
          <w:p w:rsidR="00CE7538" w:rsidRPr="00C759E7" w:rsidRDefault="00CE7538" w:rsidP="007932A6">
            <w:r w:rsidRPr="00C759E7">
              <w:t>aged recipient of Federal SSI payments.</w:t>
            </w:r>
          </w:p>
        </w:tc>
        <w:tc>
          <w:tcPr>
            <w:tcW w:w="776" w:type="dxa"/>
          </w:tcPr>
          <w:p w:rsidR="00CE7538" w:rsidRPr="00C759E7" w:rsidRDefault="00BA28CA" w:rsidP="007932A6">
            <w:r>
              <w:t>50%</w:t>
            </w:r>
          </w:p>
        </w:tc>
      </w:tr>
      <w:tr w:rsidR="00CE7538" w:rsidRPr="00C759E7" w:rsidTr="00FD6C00">
        <w:tc>
          <w:tcPr>
            <w:tcW w:w="468" w:type="dxa"/>
          </w:tcPr>
          <w:p w:rsidR="00CE7538" w:rsidRPr="00C759E7" w:rsidRDefault="00CE7538" w:rsidP="007932A6">
            <w:r>
              <w:t>B</w:t>
            </w:r>
          </w:p>
        </w:tc>
        <w:tc>
          <w:tcPr>
            <w:tcW w:w="8620" w:type="dxa"/>
          </w:tcPr>
          <w:p w:rsidR="00CE7538" w:rsidRPr="00C759E7" w:rsidRDefault="00CE7538" w:rsidP="007932A6">
            <w:r w:rsidRPr="00C759E7">
              <w:t>blind recipient of Federal SSI payments</w:t>
            </w:r>
          </w:p>
        </w:tc>
        <w:tc>
          <w:tcPr>
            <w:tcW w:w="776" w:type="dxa"/>
          </w:tcPr>
          <w:p w:rsidR="00CE7538" w:rsidRPr="00C759E7" w:rsidRDefault="00BA28CA" w:rsidP="007932A6">
            <w:r>
              <w:t>50%</w:t>
            </w:r>
          </w:p>
        </w:tc>
      </w:tr>
      <w:tr w:rsidR="00CE7538" w:rsidRPr="00C759E7" w:rsidTr="00FD6C00">
        <w:tc>
          <w:tcPr>
            <w:tcW w:w="468" w:type="dxa"/>
          </w:tcPr>
          <w:p w:rsidR="00CE7538" w:rsidRPr="00C759E7" w:rsidRDefault="00CE7538" w:rsidP="007932A6">
            <w:r>
              <w:t>D</w:t>
            </w:r>
          </w:p>
        </w:tc>
        <w:tc>
          <w:tcPr>
            <w:tcW w:w="8620" w:type="dxa"/>
          </w:tcPr>
          <w:p w:rsidR="00CE7538" w:rsidRPr="00C759E7" w:rsidRDefault="00CE7538" w:rsidP="007932A6">
            <w:r w:rsidRPr="00C759E7">
              <w:t>disabled recipient of Federal SSI payments</w:t>
            </w:r>
          </w:p>
        </w:tc>
        <w:tc>
          <w:tcPr>
            <w:tcW w:w="776" w:type="dxa"/>
          </w:tcPr>
          <w:p w:rsidR="00CE7538" w:rsidRPr="00C759E7" w:rsidRDefault="00BA28CA" w:rsidP="007932A6">
            <w:r>
              <w:t>50%</w:t>
            </w:r>
          </w:p>
        </w:tc>
      </w:tr>
      <w:tr w:rsidR="00CE7538" w:rsidRPr="00C759E7" w:rsidTr="00FD6C00">
        <w:tc>
          <w:tcPr>
            <w:tcW w:w="468" w:type="dxa"/>
          </w:tcPr>
          <w:p w:rsidR="00CE7538" w:rsidRPr="00C759E7" w:rsidRDefault="00CE7538" w:rsidP="007932A6">
            <w:r>
              <w:t>E</w:t>
            </w:r>
          </w:p>
        </w:tc>
        <w:tc>
          <w:tcPr>
            <w:tcW w:w="8620" w:type="dxa"/>
          </w:tcPr>
          <w:p w:rsidR="00CE7538" w:rsidRPr="00C759E7" w:rsidRDefault="00CE7538" w:rsidP="007932A6">
            <w:r w:rsidRPr="00C759E7">
              <w:t>aged recipient of supplemental payment administered by SSA</w:t>
            </w:r>
          </w:p>
        </w:tc>
        <w:tc>
          <w:tcPr>
            <w:tcW w:w="776" w:type="dxa"/>
          </w:tcPr>
          <w:p w:rsidR="00CE7538" w:rsidRPr="00C759E7" w:rsidRDefault="00BA28CA" w:rsidP="007932A6">
            <w:r>
              <w:t>50%</w:t>
            </w:r>
          </w:p>
        </w:tc>
      </w:tr>
      <w:tr w:rsidR="00CE7538" w:rsidRPr="00C759E7" w:rsidTr="00FD6C00">
        <w:tc>
          <w:tcPr>
            <w:tcW w:w="468" w:type="dxa"/>
          </w:tcPr>
          <w:p w:rsidR="00CE7538" w:rsidRPr="00C759E7" w:rsidRDefault="00CE7538" w:rsidP="007932A6">
            <w:r>
              <w:t>F</w:t>
            </w:r>
          </w:p>
        </w:tc>
        <w:tc>
          <w:tcPr>
            <w:tcW w:w="8620" w:type="dxa"/>
          </w:tcPr>
          <w:p w:rsidR="00CE7538" w:rsidRPr="00C759E7" w:rsidRDefault="00CE7538" w:rsidP="007932A6">
            <w:r w:rsidRPr="00C759E7">
              <w:t>blind recipient of supplemental payment administered by SSA</w:t>
            </w:r>
          </w:p>
        </w:tc>
        <w:tc>
          <w:tcPr>
            <w:tcW w:w="776" w:type="dxa"/>
          </w:tcPr>
          <w:p w:rsidR="00CE7538" w:rsidRPr="00C759E7" w:rsidRDefault="00BA28CA" w:rsidP="007932A6">
            <w:r>
              <w:t>50%</w:t>
            </w:r>
          </w:p>
        </w:tc>
      </w:tr>
      <w:tr w:rsidR="00CE7538" w:rsidRPr="00C759E7" w:rsidTr="00FD6C00">
        <w:tc>
          <w:tcPr>
            <w:tcW w:w="468" w:type="dxa"/>
          </w:tcPr>
          <w:p w:rsidR="00CE7538" w:rsidRPr="00C759E7" w:rsidRDefault="00CE7538" w:rsidP="007932A6">
            <w:r>
              <w:t>G</w:t>
            </w:r>
          </w:p>
        </w:tc>
        <w:tc>
          <w:tcPr>
            <w:tcW w:w="8620" w:type="dxa"/>
          </w:tcPr>
          <w:p w:rsidR="00CE7538" w:rsidRPr="00C759E7" w:rsidRDefault="00CE7538" w:rsidP="007932A6">
            <w:r w:rsidRPr="00C759E7">
              <w:t>disabled recipient of supplemental payment administered by SSA</w:t>
            </w:r>
          </w:p>
        </w:tc>
        <w:tc>
          <w:tcPr>
            <w:tcW w:w="776" w:type="dxa"/>
          </w:tcPr>
          <w:p w:rsidR="00CE7538" w:rsidRPr="00C759E7" w:rsidRDefault="00BA28CA" w:rsidP="007932A6">
            <w:r>
              <w:t>50%</w:t>
            </w:r>
          </w:p>
        </w:tc>
      </w:tr>
      <w:tr w:rsidR="00CE7538" w:rsidRPr="0000506F" w:rsidTr="00FD6C00">
        <w:tc>
          <w:tcPr>
            <w:tcW w:w="468" w:type="dxa"/>
          </w:tcPr>
          <w:p w:rsidR="00CE7538" w:rsidRPr="00C759E7" w:rsidRDefault="00CE7538" w:rsidP="007932A6">
            <w:r>
              <w:t>H</w:t>
            </w:r>
          </w:p>
        </w:tc>
        <w:tc>
          <w:tcPr>
            <w:tcW w:w="8620" w:type="dxa"/>
          </w:tcPr>
          <w:p w:rsidR="00CE7538" w:rsidRPr="0000506F" w:rsidRDefault="00CE7538" w:rsidP="007932A6">
            <w:r w:rsidRPr="00C759E7">
              <w:t>aged, blind, or disabled recipient of a one time payment</w:t>
            </w:r>
          </w:p>
        </w:tc>
        <w:tc>
          <w:tcPr>
            <w:tcW w:w="776" w:type="dxa"/>
          </w:tcPr>
          <w:p w:rsidR="00CE7538" w:rsidRPr="00C759E7" w:rsidRDefault="00BA28CA" w:rsidP="007932A6">
            <w:r>
              <w:t>50%</w:t>
            </w:r>
          </w:p>
        </w:tc>
      </w:tr>
    </w:tbl>
    <w:p w:rsidR="001D6F25" w:rsidRDefault="001D6F25" w:rsidP="00C759E7"/>
    <w:p w:rsidR="001450C5" w:rsidRDefault="001450C5" w:rsidP="00C759E7"/>
    <w:p w:rsidR="00CD1563" w:rsidRDefault="00CD1563">
      <w:pPr>
        <w:rPr>
          <w:u w:val="single"/>
        </w:rPr>
      </w:pPr>
      <w:r>
        <w:rPr>
          <w:u w:val="single"/>
        </w:rPr>
        <w:br w:type="page"/>
      </w:r>
    </w:p>
    <w:p w:rsidR="001450C5" w:rsidRPr="001450C5" w:rsidRDefault="001450C5" w:rsidP="001450C5">
      <w:pPr>
        <w:jc w:val="center"/>
        <w:rPr>
          <w:u w:val="single"/>
        </w:rPr>
      </w:pPr>
      <w:r w:rsidRPr="001450C5">
        <w:rPr>
          <w:u w:val="single"/>
        </w:rPr>
        <w:lastRenderedPageBreak/>
        <w:t>Transaction Codes 15, 16, 1728</w:t>
      </w:r>
    </w:p>
    <w:p w:rsidR="001450C5" w:rsidRDefault="001450C5" w:rsidP="00C759E7"/>
    <w:p w:rsidR="001450C5" w:rsidRDefault="001450C5" w:rsidP="00C759E7">
      <w:r>
        <w:t xml:space="preserve">When the most recent RIC B in the </w:t>
      </w:r>
      <w:r w:rsidR="00A863CC">
        <w:t>Buy-In</w:t>
      </w:r>
      <w:r>
        <w:t xml:space="preserve"> table is a Transaction Code 15, 16, or 1728, the automated </w:t>
      </w:r>
      <w:r w:rsidR="00A863CC">
        <w:t>Buy-In</w:t>
      </w:r>
      <w:r>
        <w:t xml:space="preserve"> Accretion logic will not automatically attempt to re-accrete clients to Part B </w:t>
      </w:r>
      <w:r w:rsidR="00A863CC">
        <w:t>Buy-In</w:t>
      </w:r>
      <w:r>
        <w:t xml:space="preserve"> because the </w:t>
      </w:r>
      <w:r w:rsidR="00A863CC">
        <w:t>Buy-In</w:t>
      </w:r>
      <w:r>
        <w:t xml:space="preserve"> system in MMIS has no way of knowing whether or not the client is indeed eligible for </w:t>
      </w:r>
      <w:r w:rsidR="00A863CC">
        <w:t>Buy-In</w:t>
      </w:r>
      <w:r>
        <w:t>.  Someone needs to call us and tell us that the client really does have Medicare, is alive, and living in Colorado.</w:t>
      </w:r>
    </w:p>
    <w:p w:rsidR="001450C5" w:rsidRDefault="001450C5" w:rsidP="00C759E7"/>
    <w:p w:rsidR="001450C5" w:rsidRDefault="00E53088" w:rsidP="00C759E7">
      <w:r>
        <w:t xml:space="preserve">Transaction 15:  </w:t>
      </w:r>
      <w:r w:rsidR="00A863CC">
        <w:t>Buy-In</w:t>
      </w:r>
      <w:r>
        <w:t xml:space="preserve"> stopped because SSA took away the client’s Medicare.  Client can appeal with SSA to get their Medicare reinstated.</w:t>
      </w:r>
    </w:p>
    <w:p w:rsidR="00E53088" w:rsidRDefault="00E53088" w:rsidP="00C759E7"/>
    <w:p w:rsidR="00E53088" w:rsidRDefault="00E53088" w:rsidP="00C759E7">
      <w:r>
        <w:t xml:space="preserve">Transaction 16:  </w:t>
      </w:r>
      <w:r w:rsidR="00A863CC">
        <w:t>Buy-In</w:t>
      </w:r>
      <w:r>
        <w:t xml:space="preserve"> stopped because SSA thinks the client died.</w:t>
      </w:r>
    </w:p>
    <w:p w:rsidR="00E53088" w:rsidRDefault="00E53088" w:rsidP="00C759E7"/>
    <w:p w:rsidR="00E53088" w:rsidRDefault="00E53088" w:rsidP="00C759E7">
      <w:r>
        <w:t xml:space="preserve">Transaction 1728:  CO’s </w:t>
      </w:r>
      <w:r w:rsidR="00A863CC">
        <w:t>Buy-In</w:t>
      </w:r>
      <w:r>
        <w:t xml:space="preserve"> stopped because another state requested </w:t>
      </w:r>
      <w:r w:rsidR="00A863CC">
        <w:t>Buy-In</w:t>
      </w:r>
      <w:r>
        <w:t>.</w:t>
      </w:r>
    </w:p>
    <w:p w:rsidR="00D151F3" w:rsidRDefault="00D151F3" w:rsidP="00C759E7"/>
    <w:p w:rsidR="00456FDF" w:rsidRDefault="00456FDF" w:rsidP="00C759E7"/>
    <w:p w:rsidR="00D151F3" w:rsidRPr="00D151F3" w:rsidRDefault="002C47D6" w:rsidP="00D151F3">
      <w:pPr>
        <w:jc w:val="center"/>
        <w:rPr>
          <w:u w:val="single"/>
        </w:rPr>
      </w:pPr>
      <w:r>
        <w:rPr>
          <w:u w:val="single"/>
        </w:rPr>
        <w:t>2 (or more)</w:t>
      </w:r>
      <w:r w:rsidR="00D151F3" w:rsidRPr="00D151F3">
        <w:rPr>
          <w:u w:val="single"/>
        </w:rPr>
        <w:t xml:space="preserve"> RIC Bs Received on the Same Date</w:t>
      </w:r>
    </w:p>
    <w:p w:rsidR="00D151F3" w:rsidRDefault="00D151F3" w:rsidP="00C759E7"/>
    <w:p w:rsidR="00D151F3" w:rsidRPr="0000506F" w:rsidRDefault="00D61A48" w:rsidP="00C759E7">
      <w:r>
        <w:t xml:space="preserve">When there are multiple RIC Bs in the </w:t>
      </w:r>
      <w:r w:rsidR="00A863CC">
        <w:t>Buy-In</w:t>
      </w:r>
      <w:r>
        <w:t xml:space="preserve"> table with the same received date, that confuses the automated </w:t>
      </w:r>
      <w:r w:rsidR="00A863CC">
        <w:t>Buy-In</w:t>
      </w:r>
      <w:r>
        <w:t xml:space="preserve"> Accretion logic.  We have to re-accrete those clients manually.</w:t>
      </w:r>
    </w:p>
    <w:sectPr w:rsidR="00D151F3" w:rsidRPr="0000506F" w:rsidSect="006D79FC">
      <w:headerReference w:type="even" r:id="rId7"/>
      <w:headerReference w:type="default" r:id="rId8"/>
      <w:footerReference w:type="even" r:id="rId9"/>
      <w:footerReference w:type="default" r:id="rId10"/>
      <w:headerReference w:type="first" r:id="rId11"/>
      <w:footerReference w:type="first" r:id="rId12"/>
      <w:pgSz w:w="12240" w:h="15840"/>
      <w:pgMar w:top="1440" w:right="1296" w:bottom="1440" w:left="1296" w:header="720" w:footer="720"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9FC" w:rsidRDefault="006D79FC" w:rsidP="006D79FC">
      <w:r>
        <w:separator/>
      </w:r>
    </w:p>
  </w:endnote>
  <w:endnote w:type="continuationSeparator" w:id="0">
    <w:p w:rsidR="006D79FC" w:rsidRDefault="006D79FC" w:rsidP="006D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9FC" w:rsidRDefault="006D79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330673"/>
      <w:docPartObj>
        <w:docPartGallery w:val="Page Numbers (Bottom of Page)"/>
        <w:docPartUnique/>
      </w:docPartObj>
    </w:sdtPr>
    <w:sdtEndPr>
      <w:rPr>
        <w:noProof/>
      </w:rPr>
    </w:sdtEndPr>
    <w:sdtContent>
      <w:p w:rsidR="006D79FC" w:rsidRDefault="006D79FC" w:rsidP="006D79FC">
        <w:pPr>
          <w:pStyle w:val="Footer"/>
          <w:jc w:val="center"/>
        </w:pPr>
        <w:r>
          <w:fldChar w:fldCharType="begin"/>
        </w:r>
        <w:r>
          <w:instrText xml:space="preserve"> PAGE   \* MERGEFORMAT </w:instrText>
        </w:r>
        <w:r>
          <w:fldChar w:fldCharType="separate"/>
        </w:r>
        <w:r w:rsidR="005448BB">
          <w:rPr>
            <w:noProof/>
          </w:rPr>
          <w:t>- 2 -</w:t>
        </w:r>
        <w:r>
          <w:rPr>
            <w:noProof/>
          </w:rPr>
          <w:fldChar w:fldCharType="end"/>
        </w:r>
      </w:p>
    </w:sdtContent>
  </w:sdt>
  <w:p w:rsidR="006D79FC" w:rsidRDefault="006D79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9FC" w:rsidRDefault="006D7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9FC" w:rsidRDefault="006D79FC" w:rsidP="006D79FC">
      <w:r>
        <w:separator/>
      </w:r>
    </w:p>
  </w:footnote>
  <w:footnote w:type="continuationSeparator" w:id="0">
    <w:p w:rsidR="006D79FC" w:rsidRDefault="006D79FC" w:rsidP="006D7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9FC" w:rsidRDefault="006D79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9FC" w:rsidRDefault="006D79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9FC" w:rsidRDefault="006D79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D73FB"/>
    <w:multiLevelType w:val="hybridMultilevel"/>
    <w:tmpl w:val="5A142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390ECB"/>
    <w:multiLevelType w:val="hybridMultilevel"/>
    <w:tmpl w:val="5568E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3069"/>
    <w:rsid w:val="0000506F"/>
    <w:rsid w:val="0002666C"/>
    <w:rsid w:val="00123070"/>
    <w:rsid w:val="001450C5"/>
    <w:rsid w:val="00173EBA"/>
    <w:rsid w:val="00182B99"/>
    <w:rsid w:val="00190CE6"/>
    <w:rsid w:val="001D6F25"/>
    <w:rsid w:val="002A01E1"/>
    <w:rsid w:val="002C47D6"/>
    <w:rsid w:val="002E0BE3"/>
    <w:rsid w:val="003833E0"/>
    <w:rsid w:val="004419AA"/>
    <w:rsid w:val="004419DE"/>
    <w:rsid w:val="00447508"/>
    <w:rsid w:val="00456FDF"/>
    <w:rsid w:val="004B38AB"/>
    <w:rsid w:val="004E394B"/>
    <w:rsid w:val="004F3B46"/>
    <w:rsid w:val="005448BB"/>
    <w:rsid w:val="00642F8D"/>
    <w:rsid w:val="00654B5A"/>
    <w:rsid w:val="00685C16"/>
    <w:rsid w:val="006D79FC"/>
    <w:rsid w:val="006E6E6A"/>
    <w:rsid w:val="00715758"/>
    <w:rsid w:val="00762AD6"/>
    <w:rsid w:val="007668E7"/>
    <w:rsid w:val="007C43F8"/>
    <w:rsid w:val="007D7592"/>
    <w:rsid w:val="00804391"/>
    <w:rsid w:val="00805E2B"/>
    <w:rsid w:val="00817E9B"/>
    <w:rsid w:val="008560D7"/>
    <w:rsid w:val="008B3211"/>
    <w:rsid w:val="008C7A31"/>
    <w:rsid w:val="0098574D"/>
    <w:rsid w:val="00990B05"/>
    <w:rsid w:val="00A05AE5"/>
    <w:rsid w:val="00A103F3"/>
    <w:rsid w:val="00A863CC"/>
    <w:rsid w:val="00BA28CA"/>
    <w:rsid w:val="00BD353B"/>
    <w:rsid w:val="00C65F9B"/>
    <w:rsid w:val="00C759E7"/>
    <w:rsid w:val="00CD1563"/>
    <w:rsid w:val="00CD63CA"/>
    <w:rsid w:val="00CE7538"/>
    <w:rsid w:val="00D151F3"/>
    <w:rsid w:val="00D61A48"/>
    <w:rsid w:val="00DE4362"/>
    <w:rsid w:val="00E53088"/>
    <w:rsid w:val="00E5755A"/>
    <w:rsid w:val="00EA313E"/>
    <w:rsid w:val="00EC269B"/>
    <w:rsid w:val="00F83069"/>
    <w:rsid w:val="00FA75B0"/>
    <w:rsid w:val="00FC651F"/>
    <w:rsid w:val="00FD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2537C-F54C-45A1-A8D0-F17259B6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82B99"/>
    <w:pPr>
      <w:framePr w:w="7920" w:h="1980" w:hRule="exact" w:hSpace="180" w:wrap="auto" w:hAnchor="page" w:xAlign="center" w:yAlign="bottom"/>
      <w:ind w:left="2880"/>
    </w:pPr>
    <w:rPr>
      <w:rFonts w:asciiTheme="majorHAnsi" w:eastAsiaTheme="majorEastAsia" w:hAnsiTheme="majorHAnsi" w:cstheme="majorBidi"/>
      <w:caps/>
    </w:rPr>
  </w:style>
  <w:style w:type="paragraph" w:styleId="EnvelopeReturn">
    <w:name w:val="envelope return"/>
    <w:basedOn w:val="Normal"/>
    <w:uiPriority w:val="99"/>
    <w:semiHidden/>
    <w:unhideWhenUsed/>
    <w:rsid w:val="00182B99"/>
    <w:rPr>
      <w:rFonts w:eastAsiaTheme="majorEastAsia" w:cstheme="majorBidi"/>
      <w:caps/>
      <w:sz w:val="28"/>
      <w:szCs w:val="20"/>
    </w:rPr>
  </w:style>
  <w:style w:type="paragraph" w:styleId="ListParagraph">
    <w:name w:val="List Paragraph"/>
    <w:basedOn w:val="Normal"/>
    <w:uiPriority w:val="34"/>
    <w:qFormat/>
    <w:rsid w:val="0098574D"/>
    <w:pPr>
      <w:ind w:left="720"/>
      <w:contextualSpacing/>
    </w:pPr>
  </w:style>
  <w:style w:type="table" w:styleId="TableGrid">
    <w:name w:val="Table Grid"/>
    <w:basedOn w:val="TableNormal"/>
    <w:uiPriority w:val="59"/>
    <w:rsid w:val="00C75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79FC"/>
    <w:pPr>
      <w:tabs>
        <w:tab w:val="center" w:pos="4680"/>
        <w:tab w:val="right" w:pos="9360"/>
      </w:tabs>
    </w:pPr>
  </w:style>
  <w:style w:type="character" w:customStyle="1" w:styleId="HeaderChar">
    <w:name w:val="Header Char"/>
    <w:basedOn w:val="DefaultParagraphFont"/>
    <w:link w:val="Header"/>
    <w:uiPriority w:val="99"/>
    <w:rsid w:val="006D79FC"/>
  </w:style>
  <w:style w:type="paragraph" w:styleId="Footer">
    <w:name w:val="footer"/>
    <w:basedOn w:val="Normal"/>
    <w:link w:val="FooterChar"/>
    <w:uiPriority w:val="99"/>
    <w:unhideWhenUsed/>
    <w:rsid w:val="006D79FC"/>
    <w:pPr>
      <w:tabs>
        <w:tab w:val="center" w:pos="4680"/>
        <w:tab w:val="right" w:pos="9360"/>
      </w:tabs>
    </w:pPr>
  </w:style>
  <w:style w:type="character" w:customStyle="1" w:styleId="FooterChar">
    <w:name w:val="Footer Char"/>
    <w:basedOn w:val="DefaultParagraphFont"/>
    <w:link w:val="Footer"/>
    <w:uiPriority w:val="99"/>
    <w:rsid w:val="006D7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TotalTime>
  <Pages>5</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Colorado Dept of Health Care Policy &amp; Financing</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 Brydon</dc:creator>
  <cp:keywords/>
  <dc:description/>
  <cp:lastModifiedBy>Brydon, Sharon</cp:lastModifiedBy>
  <cp:revision>37</cp:revision>
  <dcterms:created xsi:type="dcterms:W3CDTF">2011-09-13T16:10:00Z</dcterms:created>
  <dcterms:modified xsi:type="dcterms:W3CDTF">2014-03-14T13:35:00Z</dcterms:modified>
</cp:coreProperties>
</file>