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1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4017"/>
      </w:tblGrid>
      <w:tr w:rsidR="003B773F" w:rsidRPr="000F779A" w14:paraId="6A3DAF39" w14:textId="77777777" w:rsidTr="00F02546">
        <w:trPr>
          <w:trHeight w:val="530"/>
          <w:tblHeader/>
        </w:trPr>
        <w:tc>
          <w:tcPr>
            <w:tcW w:w="14017" w:type="dxa"/>
            <w:shd w:val="clear" w:color="auto" w:fill="0070C0"/>
            <w:vAlign w:val="center"/>
          </w:tcPr>
          <w:p w14:paraId="4428BF3F" w14:textId="29E7038F" w:rsidR="003B773F" w:rsidRPr="000F779A" w:rsidRDefault="003B773F" w:rsidP="00BB1C25">
            <w:pPr>
              <w:pageBreakBefore/>
              <w:jc w:val="center"/>
              <w:rPr>
                <w:rFonts w:asciiTheme="minorHAnsi" w:hAnsiTheme="minorHAnsi" w:cstheme="minorHAnsi"/>
                <w:b/>
                <w:color w:val="FFFFFF"/>
                <w:sz w:val="22"/>
                <w:szCs w:val="22"/>
              </w:rPr>
            </w:pPr>
            <w:r w:rsidRPr="000F779A">
              <w:rPr>
                <w:rFonts w:asciiTheme="minorHAnsi" w:hAnsiTheme="minorHAnsi" w:cstheme="minorHAnsi"/>
                <w:b/>
                <w:color w:val="FFFFFF"/>
                <w:sz w:val="22"/>
                <w:szCs w:val="22"/>
              </w:rPr>
              <w:t>Summary</w:t>
            </w:r>
          </w:p>
        </w:tc>
      </w:tr>
      <w:tr w:rsidR="003B773F" w:rsidRPr="000F779A" w14:paraId="40412280" w14:textId="77777777" w:rsidTr="00F02546">
        <w:trPr>
          <w:trHeight w:val="360"/>
        </w:trPr>
        <w:tc>
          <w:tcPr>
            <w:tcW w:w="14017" w:type="dxa"/>
            <w:shd w:val="clear" w:color="auto" w:fill="auto"/>
          </w:tcPr>
          <w:p w14:paraId="22F03F4A" w14:textId="67D45329" w:rsidR="00387DFD" w:rsidRPr="000F779A" w:rsidRDefault="00DF122D" w:rsidP="00DF122D">
            <w:pPr>
              <w:spacing w:before="40" w:after="40"/>
              <w:rPr>
                <w:rFonts w:asciiTheme="minorHAnsi" w:hAnsiTheme="minorHAnsi" w:cstheme="minorHAnsi"/>
                <w:sz w:val="22"/>
                <w:szCs w:val="22"/>
              </w:rPr>
            </w:pPr>
            <w:r w:rsidRPr="000F779A">
              <w:rPr>
                <w:rFonts w:asciiTheme="minorHAnsi" w:hAnsiTheme="minorHAnsi" w:cstheme="minorHAnsi"/>
                <w:sz w:val="22"/>
                <w:szCs w:val="22"/>
              </w:rPr>
              <w:t>This final rule will improve the electronic exchange of health care data and streamline processes related to prior authorization through new requirements for Medicare Advantage (MA) organizations, state Medicaid fee-for-service (FFS) programs, state Children’s Health Insurance Program</w:t>
            </w:r>
            <w:r w:rsidR="00BA5D8C" w:rsidRPr="000F779A">
              <w:rPr>
                <w:rFonts w:asciiTheme="minorHAnsi" w:hAnsiTheme="minorHAnsi" w:cstheme="minorHAnsi"/>
                <w:sz w:val="22"/>
                <w:szCs w:val="22"/>
              </w:rPr>
              <w:t xml:space="preserve"> </w:t>
            </w:r>
            <w:r w:rsidRPr="000F779A">
              <w:rPr>
                <w:rFonts w:asciiTheme="minorHAnsi" w:hAnsiTheme="minorHAnsi" w:cstheme="minorHAnsi"/>
                <w:sz w:val="22"/>
                <w:szCs w:val="22"/>
              </w:rPr>
              <w:t>(CHIP) FFS programs, Medicaid</w:t>
            </w:r>
            <w:r w:rsidR="00582872" w:rsidRPr="000F779A">
              <w:rPr>
                <w:rFonts w:asciiTheme="minorHAnsi" w:hAnsiTheme="minorHAnsi" w:cstheme="minorHAnsi"/>
                <w:sz w:val="22"/>
                <w:szCs w:val="22"/>
              </w:rPr>
              <w:t xml:space="preserve"> </w:t>
            </w:r>
            <w:r w:rsidRPr="000F779A">
              <w:rPr>
                <w:rFonts w:asciiTheme="minorHAnsi" w:hAnsiTheme="minorHAnsi" w:cstheme="minorHAnsi"/>
                <w:sz w:val="22"/>
                <w:szCs w:val="22"/>
              </w:rPr>
              <w:t>managed care plans, CHIP managed care</w:t>
            </w:r>
            <w:r w:rsidR="00582872" w:rsidRPr="000F779A">
              <w:rPr>
                <w:rFonts w:asciiTheme="minorHAnsi" w:hAnsiTheme="minorHAnsi" w:cstheme="minorHAnsi"/>
                <w:sz w:val="22"/>
                <w:szCs w:val="22"/>
              </w:rPr>
              <w:t xml:space="preserve"> </w:t>
            </w:r>
            <w:r w:rsidRPr="000F779A">
              <w:rPr>
                <w:rFonts w:asciiTheme="minorHAnsi" w:hAnsiTheme="minorHAnsi" w:cstheme="minorHAnsi"/>
                <w:sz w:val="22"/>
                <w:szCs w:val="22"/>
              </w:rPr>
              <w:t>entities, and Qualified Health Plan</w:t>
            </w:r>
            <w:r w:rsidR="00582872" w:rsidRPr="000F779A">
              <w:rPr>
                <w:rFonts w:asciiTheme="minorHAnsi" w:hAnsiTheme="minorHAnsi" w:cstheme="minorHAnsi"/>
                <w:sz w:val="22"/>
                <w:szCs w:val="22"/>
              </w:rPr>
              <w:t xml:space="preserve"> </w:t>
            </w:r>
            <w:r w:rsidRPr="000F779A">
              <w:rPr>
                <w:rFonts w:asciiTheme="minorHAnsi" w:hAnsiTheme="minorHAnsi" w:cstheme="minorHAnsi"/>
                <w:sz w:val="22"/>
                <w:szCs w:val="22"/>
              </w:rPr>
              <w:t xml:space="preserve">(QHP) issuers on the </w:t>
            </w:r>
            <w:r w:rsidR="00582872" w:rsidRPr="000F779A">
              <w:rPr>
                <w:rFonts w:asciiTheme="minorHAnsi" w:hAnsiTheme="minorHAnsi" w:cstheme="minorHAnsi"/>
                <w:sz w:val="22"/>
                <w:szCs w:val="22"/>
              </w:rPr>
              <w:t xml:space="preserve">Federally facilitated </w:t>
            </w:r>
            <w:r w:rsidRPr="000F779A">
              <w:rPr>
                <w:rFonts w:asciiTheme="minorHAnsi" w:hAnsiTheme="minorHAnsi" w:cstheme="minorHAnsi"/>
                <w:sz w:val="22"/>
                <w:szCs w:val="22"/>
              </w:rPr>
              <w:t>Exchanges (FFEs). This final</w:t>
            </w:r>
            <w:r w:rsidR="00582872" w:rsidRPr="000F779A">
              <w:rPr>
                <w:rFonts w:asciiTheme="minorHAnsi" w:hAnsiTheme="minorHAnsi" w:cstheme="minorHAnsi"/>
                <w:sz w:val="22"/>
                <w:szCs w:val="22"/>
              </w:rPr>
              <w:t xml:space="preserve"> </w:t>
            </w:r>
            <w:r w:rsidRPr="000F779A">
              <w:rPr>
                <w:rFonts w:asciiTheme="minorHAnsi" w:hAnsiTheme="minorHAnsi" w:cstheme="minorHAnsi"/>
                <w:sz w:val="22"/>
                <w:szCs w:val="22"/>
              </w:rPr>
              <w:t>rule will also add new measures for</w:t>
            </w:r>
            <w:r w:rsidR="00582872" w:rsidRPr="000F779A">
              <w:rPr>
                <w:rFonts w:asciiTheme="minorHAnsi" w:hAnsiTheme="minorHAnsi" w:cstheme="minorHAnsi"/>
                <w:sz w:val="22"/>
                <w:szCs w:val="22"/>
              </w:rPr>
              <w:t xml:space="preserve"> </w:t>
            </w:r>
            <w:r w:rsidRPr="000F779A">
              <w:rPr>
                <w:rFonts w:asciiTheme="minorHAnsi" w:hAnsiTheme="minorHAnsi" w:cstheme="minorHAnsi"/>
                <w:sz w:val="22"/>
                <w:szCs w:val="22"/>
              </w:rPr>
              <w:t>eligible hospitals and critical access</w:t>
            </w:r>
            <w:r w:rsidR="00582872" w:rsidRPr="000F779A">
              <w:rPr>
                <w:rFonts w:asciiTheme="minorHAnsi" w:hAnsiTheme="minorHAnsi" w:cstheme="minorHAnsi"/>
                <w:sz w:val="22"/>
                <w:szCs w:val="22"/>
              </w:rPr>
              <w:t xml:space="preserve"> </w:t>
            </w:r>
            <w:r w:rsidRPr="000F779A">
              <w:rPr>
                <w:rFonts w:asciiTheme="minorHAnsi" w:hAnsiTheme="minorHAnsi" w:cstheme="minorHAnsi"/>
                <w:sz w:val="22"/>
                <w:szCs w:val="22"/>
              </w:rPr>
              <w:t>hospitals (CAHs) to report under the</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Medicare Promoting Interoperability</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Program and for MIPS eligible clinicians</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to report under the Promoting</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Interoperability performance category of</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the Merit-based Incentive Payment</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System (MIPS). These policies, taken</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together, will reduce overall payer and</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provider burden and improve patient</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access to health information while</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continuing CMS’s drive toward</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interoperability in the health care</w:t>
            </w:r>
            <w:r w:rsidR="004C6A7E" w:rsidRPr="000F779A">
              <w:rPr>
                <w:rFonts w:asciiTheme="minorHAnsi" w:hAnsiTheme="minorHAnsi" w:cstheme="minorHAnsi"/>
                <w:sz w:val="22"/>
                <w:szCs w:val="22"/>
              </w:rPr>
              <w:t xml:space="preserve"> </w:t>
            </w:r>
            <w:r w:rsidRPr="000F779A">
              <w:rPr>
                <w:rFonts w:asciiTheme="minorHAnsi" w:hAnsiTheme="minorHAnsi" w:cstheme="minorHAnsi"/>
                <w:sz w:val="22"/>
                <w:szCs w:val="22"/>
              </w:rPr>
              <w:t>market.</w:t>
            </w:r>
            <w:r w:rsidR="004F06B1" w:rsidRPr="000F779A">
              <w:rPr>
                <w:rStyle w:val="FootnoteReference"/>
                <w:rFonts w:asciiTheme="minorHAnsi" w:hAnsiTheme="minorHAnsi" w:cstheme="minorHAnsi"/>
                <w:sz w:val="22"/>
                <w:szCs w:val="22"/>
              </w:rPr>
              <w:footnoteReference w:id="2"/>
            </w:r>
          </w:p>
          <w:p w14:paraId="298623E0" w14:textId="77777777" w:rsidR="003B6630" w:rsidRPr="000F779A" w:rsidRDefault="003B6630" w:rsidP="00DF122D">
            <w:pPr>
              <w:spacing w:before="40" w:after="40"/>
              <w:rPr>
                <w:rFonts w:asciiTheme="minorHAnsi" w:hAnsiTheme="minorHAnsi" w:cstheme="minorHAnsi"/>
                <w:sz w:val="22"/>
                <w:szCs w:val="22"/>
              </w:rPr>
            </w:pPr>
          </w:p>
          <w:p w14:paraId="159634D4" w14:textId="356C2056" w:rsidR="00F15F62" w:rsidRPr="000F779A" w:rsidRDefault="003B6630" w:rsidP="00DF122D">
            <w:pPr>
              <w:spacing w:before="40" w:after="40"/>
              <w:rPr>
                <w:rFonts w:asciiTheme="minorHAnsi" w:hAnsiTheme="minorHAnsi" w:cstheme="minorHAnsi"/>
                <w:sz w:val="22"/>
                <w:szCs w:val="22"/>
              </w:rPr>
            </w:pPr>
            <w:r w:rsidRPr="000F779A">
              <w:rPr>
                <w:rFonts w:asciiTheme="minorHAnsi" w:hAnsiTheme="minorHAnsi" w:cstheme="minorHAnsi"/>
                <w:sz w:val="22"/>
                <w:szCs w:val="22"/>
              </w:rPr>
              <w:t xml:space="preserve">The </w:t>
            </w:r>
            <w:r w:rsidR="00F15F62" w:rsidRPr="000F779A">
              <w:rPr>
                <w:rFonts w:asciiTheme="minorHAnsi" w:hAnsiTheme="minorHAnsi" w:cstheme="minorHAnsi"/>
                <w:sz w:val="22"/>
                <w:szCs w:val="22"/>
              </w:rPr>
              <w:t xml:space="preserve">CMS Interoperability and Prior Authorization Final Rule (CMS–0057–F) </w:t>
            </w:r>
            <w:r w:rsidR="00EA51B0" w:rsidRPr="000F779A">
              <w:rPr>
                <w:rFonts w:asciiTheme="minorHAnsi" w:hAnsiTheme="minorHAnsi" w:cstheme="minorHAnsi"/>
                <w:sz w:val="22"/>
                <w:szCs w:val="22"/>
              </w:rPr>
              <w:t>expands</w:t>
            </w:r>
            <w:r w:rsidR="00F15F62" w:rsidRPr="000F779A">
              <w:rPr>
                <w:rFonts w:asciiTheme="minorHAnsi" w:hAnsiTheme="minorHAnsi" w:cstheme="minorHAnsi"/>
                <w:sz w:val="22"/>
                <w:szCs w:val="22"/>
              </w:rPr>
              <w:t xml:space="preserve"> on the </w:t>
            </w:r>
            <w:hyperlink r:id="rId8" w:history="1">
              <w:r w:rsidR="00F15F62" w:rsidRPr="000F779A">
                <w:rPr>
                  <w:rStyle w:val="Hyperlink"/>
                  <w:rFonts w:asciiTheme="minorHAnsi" w:hAnsiTheme="minorHAnsi" w:cstheme="minorHAnsi"/>
                  <w:sz w:val="22"/>
                  <w:szCs w:val="22"/>
                </w:rPr>
                <w:t>CMS Interoperability and Patient Access Final Rule (CMS-9115-F)</w:t>
              </w:r>
            </w:hyperlink>
            <w:r w:rsidR="004B3320" w:rsidRPr="000F779A">
              <w:rPr>
                <w:rFonts w:asciiTheme="minorHAnsi" w:hAnsiTheme="minorHAnsi" w:cstheme="minorHAnsi"/>
                <w:sz w:val="22"/>
                <w:szCs w:val="22"/>
              </w:rPr>
              <w:t xml:space="preserve"> released </w:t>
            </w:r>
            <w:r w:rsidR="00805939" w:rsidRPr="000F779A">
              <w:rPr>
                <w:rFonts w:asciiTheme="minorHAnsi" w:hAnsiTheme="minorHAnsi" w:cstheme="minorHAnsi"/>
                <w:sz w:val="22"/>
                <w:szCs w:val="22"/>
              </w:rPr>
              <w:t xml:space="preserve">May 1, </w:t>
            </w:r>
            <w:r w:rsidR="00716344" w:rsidRPr="000F779A">
              <w:rPr>
                <w:rFonts w:asciiTheme="minorHAnsi" w:hAnsiTheme="minorHAnsi" w:cstheme="minorHAnsi"/>
                <w:sz w:val="22"/>
                <w:szCs w:val="22"/>
              </w:rPr>
              <w:t>2020</w:t>
            </w:r>
            <w:r w:rsidR="00790784" w:rsidRPr="000F779A">
              <w:rPr>
                <w:rFonts w:asciiTheme="minorHAnsi" w:hAnsiTheme="minorHAnsi" w:cstheme="minorHAnsi"/>
                <w:sz w:val="22"/>
                <w:szCs w:val="22"/>
              </w:rPr>
              <w:t xml:space="preserve">, which </w:t>
            </w:r>
            <w:r w:rsidR="00752409" w:rsidRPr="000F779A">
              <w:rPr>
                <w:rFonts w:asciiTheme="minorHAnsi" w:hAnsiTheme="minorHAnsi" w:cstheme="minorHAnsi"/>
                <w:sz w:val="22"/>
                <w:szCs w:val="22"/>
              </w:rPr>
              <w:t>was</w:t>
            </w:r>
            <w:r w:rsidR="00790784" w:rsidRPr="000F779A">
              <w:rPr>
                <w:rFonts w:asciiTheme="minorHAnsi" w:hAnsiTheme="minorHAnsi" w:cstheme="minorHAnsi"/>
                <w:sz w:val="22"/>
                <w:szCs w:val="22"/>
              </w:rPr>
              <w:t xml:space="preserve"> </w:t>
            </w:r>
            <w:r w:rsidR="00752409" w:rsidRPr="000F779A">
              <w:rPr>
                <w:rFonts w:asciiTheme="minorHAnsi" w:hAnsiTheme="minorHAnsi" w:cstheme="minorHAnsi"/>
                <w:sz w:val="22"/>
                <w:szCs w:val="22"/>
              </w:rPr>
              <w:t xml:space="preserve">intended to move the health care ecosystem in the direction of interoperability, and to signal our commitment to the vision set out in the 21st Century Cures Act and </w:t>
            </w:r>
            <w:hyperlink r:id="rId9" w:history="1">
              <w:r w:rsidR="00752409" w:rsidRPr="000F779A">
                <w:rPr>
                  <w:rStyle w:val="Hyperlink"/>
                  <w:rFonts w:asciiTheme="minorHAnsi" w:hAnsiTheme="minorHAnsi" w:cstheme="minorHAnsi"/>
                  <w:sz w:val="22"/>
                  <w:szCs w:val="22"/>
                </w:rPr>
                <w:t>Executive Order 13813</w:t>
              </w:r>
            </w:hyperlink>
            <w:r w:rsidR="00752409" w:rsidRPr="000F779A">
              <w:rPr>
                <w:rFonts w:asciiTheme="minorHAnsi" w:hAnsiTheme="minorHAnsi" w:cstheme="minorHAnsi"/>
                <w:sz w:val="22"/>
                <w:szCs w:val="22"/>
              </w:rPr>
              <w:t xml:space="preserve"> to improve quality and accessibility of information that Americans need to make informed health care decisions, including data about health care prices and outcomes, while minimizing reporting burdens on affected health care providers and payers.</w:t>
            </w:r>
          </w:p>
          <w:p w14:paraId="7280288F" w14:textId="77777777" w:rsidR="004C6A7E" w:rsidRPr="000F779A" w:rsidRDefault="004C6A7E" w:rsidP="00DF122D">
            <w:pPr>
              <w:spacing w:before="40" w:after="40"/>
              <w:rPr>
                <w:rFonts w:asciiTheme="minorHAnsi" w:hAnsiTheme="minorHAnsi" w:cstheme="minorHAnsi"/>
                <w:sz w:val="22"/>
                <w:szCs w:val="22"/>
              </w:rPr>
            </w:pPr>
          </w:p>
          <w:p w14:paraId="060DB578" w14:textId="750686A4" w:rsidR="009B352B" w:rsidRPr="000F779A" w:rsidRDefault="00552A4F" w:rsidP="00387DFD">
            <w:pPr>
              <w:spacing w:before="40" w:after="40"/>
              <w:rPr>
                <w:rFonts w:asciiTheme="minorHAnsi" w:hAnsiTheme="minorHAnsi" w:cstheme="minorHAnsi"/>
                <w:b/>
                <w:bCs/>
                <w:sz w:val="22"/>
                <w:szCs w:val="22"/>
              </w:rPr>
            </w:pPr>
            <w:r w:rsidRPr="000F779A">
              <w:rPr>
                <w:rFonts w:asciiTheme="minorHAnsi" w:hAnsiTheme="minorHAnsi" w:cstheme="minorHAnsi"/>
                <w:b/>
                <w:bCs/>
                <w:sz w:val="22"/>
                <w:szCs w:val="22"/>
              </w:rPr>
              <w:t>Effective Date</w:t>
            </w:r>
            <w:r w:rsidR="004B2527" w:rsidRPr="000F779A">
              <w:rPr>
                <w:rFonts w:asciiTheme="minorHAnsi" w:hAnsiTheme="minorHAnsi" w:cstheme="minorHAnsi"/>
                <w:b/>
                <w:bCs/>
                <w:sz w:val="22"/>
                <w:szCs w:val="22"/>
              </w:rPr>
              <w:t xml:space="preserve"> for the CMS Interoperability and Prior Authorization Final Rule</w:t>
            </w:r>
            <w:r w:rsidRPr="000F779A">
              <w:rPr>
                <w:rFonts w:asciiTheme="minorHAnsi" w:hAnsiTheme="minorHAnsi" w:cstheme="minorHAnsi"/>
                <w:b/>
                <w:bCs/>
                <w:sz w:val="22"/>
                <w:szCs w:val="22"/>
              </w:rPr>
              <w:t>:</w:t>
            </w:r>
            <w:r w:rsidR="00F72893" w:rsidRPr="000F779A">
              <w:rPr>
                <w:rFonts w:asciiTheme="minorHAnsi" w:hAnsiTheme="minorHAnsi" w:cstheme="minorHAnsi"/>
                <w:b/>
                <w:bCs/>
                <w:sz w:val="22"/>
                <w:szCs w:val="22"/>
              </w:rPr>
              <w:t xml:space="preserve"> </w:t>
            </w:r>
            <w:r w:rsidR="004F06B1" w:rsidRPr="000F779A">
              <w:rPr>
                <w:rFonts w:asciiTheme="minorHAnsi" w:hAnsiTheme="minorHAnsi" w:cstheme="minorHAnsi"/>
                <w:b/>
                <w:bCs/>
                <w:sz w:val="22"/>
                <w:szCs w:val="22"/>
              </w:rPr>
              <w:t>April 8, 2024</w:t>
            </w:r>
            <w:r w:rsidR="004B2527" w:rsidRPr="000F779A">
              <w:rPr>
                <w:rFonts w:asciiTheme="minorHAnsi" w:hAnsiTheme="minorHAnsi" w:cstheme="minorHAnsi"/>
                <w:b/>
                <w:bCs/>
                <w:sz w:val="22"/>
                <w:szCs w:val="22"/>
              </w:rPr>
              <w:t>, unless implementation dates are otherwise specified within the rule.</w:t>
            </w:r>
          </w:p>
          <w:p w14:paraId="25663232" w14:textId="77777777" w:rsidR="00F50C13" w:rsidRPr="000F779A" w:rsidRDefault="00F50C13" w:rsidP="009B477A">
            <w:pPr>
              <w:spacing w:before="40" w:after="40"/>
              <w:jc w:val="center"/>
              <w:rPr>
                <w:rFonts w:asciiTheme="minorHAnsi" w:hAnsiTheme="minorHAnsi" w:cstheme="minorHAnsi"/>
                <w:b/>
                <w:bCs/>
                <w:sz w:val="22"/>
                <w:szCs w:val="22"/>
              </w:rPr>
            </w:pPr>
          </w:p>
          <w:p w14:paraId="7A739C53" w14:textId="59E89A91" w:rsidR="009B477A" w:rsidRPr="000F779A" w:rsidRDefault="009B477A" w:rsidP="00316E73">
            <w:pPr>
              <w:spacing w:before="40" w:after="40"/>
              <w:rPr>
                <w:rFonts w:asciiTheme="minorHAnsi" w:hAnsiTheme="minorHAnsi" w:cstheme="minorHAnsi"/>
                <w:b/>
                <w:bCs/>
                <w:sz w:val="22"/>
                <w:szCs w:val="22"/>
              </w:rPr>
            </w:pPr>
          </w:p>
        </w:tc>
      </w:tr>
    </w:tbl>
    <w:p w14:paraId="64CD5398" w14:textId="11A2A109" w:rsidR="00003DA7" w:rsidRPr="000F779A" w:rsidRDefault="00003DA7">
      <w:pPr>
        <w:rPr>
          <w:rFonts w:asciiTheme="minorHAnsi" w:hAnsiTheme="minorHAnsi" w:cstheme="minorHAnsi"/>
          <w:sz w:val="16"/>
          <w:szCs w:val="16"/>
        </w:rPr>
      </w:pPr>
    </w:p>
    <w:p w14:paraId="475C6446" w14:textId="77777777" w:rsidR="00E412FF" w:rsidRPr="000F779A" w:rsidRDefault="00E412FF" w:rsidP="00E412FF">
      <w:pPr>
        <w:spacing w:before="40" w:after="40"/>
        <w:rPr>
          <w:rFonts w:asciiTheme="minorHAnsi" w:hAnsiTheme="minorHAnsi" w:cstheme="minorHAnsi"/>
          <w:b/>
          <w:bCs/>
          <w:sz w:val="22"/>
          <w:szCs w:val="22"/>
        </w:rPr>
      </w:pPr>
    </w:p>
    <w:p w14:paraId="1EF97AEF" w14:textId="77777777" w:rsidR="002A0EA0" w:rsidRPr="000F779A" w:rsidRDefault="00E412FF" w:rsidP="00CC2E0E">
      <w:pPr>
        <w:pageBreakBefore/>
        <w:spacing w:before="40" w:after="40"/>
        <w:jc w:val="center"/>
        <w:rPr>
          <w:rFonts w:asciiTheme="minorHAnsi" w:hAnsiTheme="minorHAnsi" w:cstheme="minorHAnsi"/>
          <w:b/>
          <w:bCs/>
          <w:sz w:val="22"/>
          <w:szCs w:val="22"/>
        </w:rPr>
      </w:pPr>
      <w:bookmarkStart w:id="0" w:name="_Hlk169519334"/>
      <w:r w:rsidRPr="000F779A">
        <w:rPr>
          <w:rFonts w:asciiTheme="minorHAnsi" w:hAnsiTheme="minorHAnsi" w:cstheme="minorHAnsi"/>
          <w:b/>
          <w:bCs/>
          <w:sz w:val="22"/>
          <w:szCs w:val="22"/>
        </w:rPr>
        <w:lastRenderedPageBreak/>
        <w:t xml:space="preserve">Patient Access API </w:t>
      </w:r>
      <w:r w:rsidR="00AA2ECE" w:rsidRPr="000F779A">
        <w:rPr>
          <w:rFonts w:asciiTheme="minorHAnsi" w:hAnsiTheme="minorHAnsi" w:cstheme="minorHAnsi"/>
          <w:b/>
          <w:bCs/>
          <w:sz w:val="22"/>
          <w:szCs w:val="22"/>
        </w:rPr>
        <w:t>F</w:t>
      </w:r>
      <w:r w:rsidRPr="000F779A">
        <w:rPr>
          <w:rFonts w:asciiTheme="minorHAnsi" w:hAnsiTheme="minorHAnsi" w:cstheme="minorHAnsi"/>
          <w:b/>
          <w:bCs/>
          <w:sz w:val="22"/>
          <w:szCs w:val="22"/>
        </w:rPr>
        <w:t xml:space="preserve">inal Policies </w:t>
      </w:r>
      <w:r w:rsidR="00AA2ECE" w:rsidRPr="000F779A">
        <w:rPr>
          <w:rFonts w:asciiTheme="minorHAnsi" w:hAnsiTheme="minorHAnsi" w:cstheme="minorHAnsi"/>
          <w:b/>
          <w:bCs/>
          <w:sz w:val="22"/>
          <w:szCs w:val="22"/>
        </w:rPr>
        <w:t xml:space="preserve">and </w:t>
      </w:r>
      <w:r w:rsidRPr="000F779A">
        <w:rPr>
          <w:rFonts w:asciiTheme="minorHAnsi" w:hAnsiTheme="minorHAnsi" w:cstheme="minorHAnsi"/>
          <w:b/>
          <w:bCs/>
          <w:sz w:val="22"/>
          <w:szCs w:val="22"/>
        </w:rPr>
        <w:t>Cross References</w:t>
      </w:r>
      <w:r w:rsidR="00D01731" w:rsidRPr="000F779A">
        <w:rPr>
          <w:rFonts w:asciiTheme="minorHAnsi" w:hAnsiTheme="minorHAnsi" w:cstheme="minorHAnsi"/>
          <w:b/>
          <w:bCs/>
          <w:sz w:val="22"/>
          <w:szCs w:val="22"/>
        </w:rPr>
        <w:t xml:space="preserve"> </w:t>
      </w:r>
    </w:p>
    <w:p w14:paraId="3E7FADF7" w14:textId="2330B76C" w:rsidR="00E412FF" w:rsidRPr="000F779A" w:rsidRDefault="00D01731" w:rsidP="002A0EA0">
      <w:pPr>
        <w:spacing w:before="40" w:after="40"/>
        <w:jc w:val="center"/>
        <w:rPr>
          <w:rFonts w:asciiTheme="minorHAnsi" w:hAnsiTheme="minorHAnsi" w:cstheme="minorHAnsi"/>
          <w:b/>
          <w:bCs/>
          <w:sz w:val="22"/>
          <w:szCs w:val="22"/>
        </w:rPr>
      </w:pPr>
      <w:r w:rsidRPr="000F779A">
        <w:rPr>
          <w:rFonts w:asciiTheme="minorHAnsi" w:hAnsiTheme="minorHAnsi" w:cstheme="minorHAnsi"/>
          <w:b/>
          <w:bCs/>
          <w:sz w:val="22"/>
          <w:szCs w:val="22"/>
        </w:rPr>
        <w:t xml:space="preserve">(Table B1—Page </w:t>
      </w:r>
      <w:r w:rsidR="002A0EA0" w:rsidRPr="000F779A">
        <w:rPr>
          <w:rFonts w:asciiTheme="minorHAnsi" w:hAnsiTheme="minorHAnsi" w:cstheme="minorHAnsi"/>
          <w:b/>
          <w:bCs/>
          <w:sz w:val="22"/>
          <w:szCs w:val="22"/>
        </w:rPr>
        <w:t>8783)</w:t>
      </w:r>
    </w:p>
    <w:tbl>
      <w:tblPr>
        <w:tblStyle w:val="TableGrid"/>
        <w:tblW w:w="13495" w:type="dxa"/>
        <w:tblLayout w:type="fixed"/>
        <w:tblLook w:val="04A0" w:firstRow="1" w:lastRow="0" w:firstColumn="1" w:lastColumn="0" w:noHBand="0" w:noVBand="1"/>
      </w:tblPr>
      <w:tblGrid>
        <w:gridCol w:w="2249"/>
        <w:gridCol w:w="2249"/>
        <w:gridCol w:w="2249"/>
        <w:gridCol w:w="2249"/>
        <w:gridCol w:w="2249"/>
        <w:gridCol w:w="2250"/>
      </w:tblGrid>
      <w:tr w:rsidR="002A220D" w:rsidRPr="000F779A" w14:paraId="4736D7B2" w14:textId="77777777" w:rsidTr="00987E4A">
        <w:tc>
          <w:tcPr>
            <w:tcW w:w="2249" w:type="dxa"/>
            <w:shd w:val="clear" w:color="auto" w:fill="0070C0"/>
          </w:tcPr>
          <w:bookmarkEnd w:id="0"/>
          <w:p w14:paraId="4341C315" w14:textId="77777777" w:rsidR="002A220D" w:rsidRPr="000F779A" w:rsidRDefault="002A220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Requirement</w:t>
            </w:r>
          </w:p>
        </w:tc>
        <w:tc>
          <w:tcPr>
            <w:tcW w:w="2249" w:type="dxa"/>
            <w:shd w:val="clear" w:color="auto" w:fill="0070C0"/>
          </w:tcPr>
          <w:p w14:paraId="75E2D31B" w14:textId="1934969C" w:rsidR="002A220D" w:rsidRPr="000F779A" w:rsidRDefault="00594A7A"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w:t>
            </w:r>
            <w:r w:rsidR="00923D2B" w:rsidRPr="000F779A">
              <w:rPr>
                <w:rFonts w:asciiTheme="minorHAnsi" w:hAnsiTheme="minorHAnsi" w:cstheme="minorHAnsi"/>
                <w:b/>
                <w:bCs/>
                <w:color w:val="FFFFFF" w:themeColor="background1"/>
                <w:sz w:val="22"/>
                <w:szCs w:val="22"/>
              </w:rPr>
              <w:t>edicare Advantag</w:t>
            </w:r>
            <w:r w:rsidR="00BC6918" w:rsidRPr="000F779A">
              <w:rPr>
                <w:rFonts w:asciiTheme="minorHAnsi" w:hAnsiTheme="minorHAnsi" w:cstheme="minorHAnsi"/>
                <w:b/>
                <w:bCs/>
                <w:color w:val="FFFFFF" w:themeColor="background1"/>
                <w:sz w:val="22"/>
                <w:szCs w:val="22"/>
              </w:rPr>
              <w:t>e</w:t>
            </w:r>
          </w:p>
        </w:tc>
        <w:tc>
          <w:tcPr>
            <w:tcW w:w="2249" w:type="dxa"/>
            <w:shd w:val="clear" w:color="auto" w:fill="0070C0"/>
          </w:tcPr>
          <w:p w14:paraId="4CE5DB1D" w14:textId="7B869A85" w:rsidR="002A220D" w:rsidRPr="000F779A" w:rsidRDefault="002A220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FFS</w:t>
            </w:r>
          </w:p>
        </w:tc>
        <w:tc>
          <w:tcPr>
            <w:tcW w:w="2249" w:type="dxa"/>
            <w:shd w:val="clear" w:color="auto" w:fill="0070C0"/>
          </w:tcPr>
          <w:p w14:paraId="2913C340" w14:textId="77777777" w:rsidR="002A220D" w:rsidRPr="000F779A" w:rsidRDefault="002A220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Managed Care</w:t>
            </w:r>
          </w:p>
        </w:tc>
        <w:tc>
          <w:tcPr>
            <w:tcW w:w="2249" w:type="dxa"/>
            <w:shd w:val="clear" w:color="auto" w:fill="0070C0"/>
          </w:tcPr>
          <w:p w14:paraId="76362E50" w14:textId="77777777" w:rsidR="002A220D" w:rsidRPr="000F779A" w:rsidRDefault="002A220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FFS</w:t>
            </w:r>
          </w:p>
        </w:tc>
        <w:tc>
          <w:tcPr>
            <w:tcW w:w="2250" w:type="dxa"/>
            <w:shd w:val="clear" w:color="auto" w:fill="0070C0"/>
          </w:tcPr>
          <w:p w14:paraId="179B9885" w14:textId="77777777" w:rsidR="002A220D" w:rsidRPr="000F779A" w:rsidRDefault="002A220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Managed Care</w:t>
            </w:r>
          </w:p>
        </w:tc>
      </w:tr>
      <w:tr w:rsidR="002A220D" w:rsidRPr="000F779A" w14:paraId="255538BF" w14:textId="77777777" w:rsidTr="00987E4A">
        <w:tc>
          <w:tcPr>
            <w:tcW w:w="2249" w:type="dxa"/>
          </w:tcPr>
          <w:p w14:paraId="1DFD960B" w14:textId="77777777" w:rsidR="002A220D" w:rsidRPr="000F779A" w:rsidRDefault="002A220D" w:rsidP="001422D5">
            <w:pPr>
              <w:spacing w:before="40" w:after="40"/>
              <w:rPr>
                <w:rFonts w:asciiTheme="minorHAnsi" w:hAnsiTheme="minorHAnsi" w:cstheme="minorHAnsi"/>
                <w:sz w:val="22"/>
                <w:szCs w:val="22"/>
              </w:rPr>
            </w:pPr>
            <w:r w:rsidRPr="000F779A">
              <w:rPr>
                <w:rFonts w:asciiTheme="minorHAnsi" w:hAnsiTheme="minorHAnsi" w:cstheme="minorHAnsi"/>
                <w:sz w:val="22"/>
                <w:szCs w:val="22"/>
              </w:rPr>
              <w:t>Adding prior authorization information (compliance date—January 1, 2027)</w:t>
            </w:r>
          </w:p>
        </w:tc>
        <w:tc>
          <w:tcPr>
            <w:tcW w:w="2249" w:type="dxa"/>
          </w:tcPr>
          <w:p w14:paraId="3DD2F11F" w14:textId="02FE2487" w:rsidR="002A220D" w:rsidRPr="000F779A" w:rsidRDefault="00C859CC"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 xml:space="preserve">42 CFR </w:t>
            </w:r>
            <w:r w:rsidR="004F6109" w:rsidRPr="000F779A">
              <w:rPr>
                <w:rFonts w:asciiTheme="minorHAnsi" w:hAnsiTheme="minorHAnsi" w:cstheme="minorHAnsi"/>
                <w:sz w:val="22"/>
                <w:szCs w:val="22"/>
              </w:rPr>
              <w:t>422.119(b)(1)(iv)(A)</w:t>
            </w:r>
          </w:p>
        </w:tc>
        <w:tc>
          <w:tcPr>
            <w:tcW w:w="2249" w:type="dxa"/>
          </w:tcPr>
          <w:p w14:paraId="2471D753" w14:textId="5E4951C6"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431.60(b)(5)(i)</w:t>
            </w:r>
          </w:p>
        </w:tc>
        <w:tc>
          <w:tcPr>
            <w:tcW w:w="2249" w:type="dxa"/>
          </w:tcPr>
          <w:p w14:paraId="3E5E4EE3" w14:textId="77777777"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431.60 at 42 CFR 438.242(b)(5)</w:t>
            </w:r>
          </w:p>
        </w:tc>
        <w:tc>
          <w:tcPr>
            <w:tcW w:w="2249" w:type="dxa"/>
          </w:tcPr>
          <w:p w14:paraId="43053C19" w14:textId="77777777"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457.730(b)(5)(i)</w:t>
            </w:r>
          </w:p>
        </w:tc>
        <w:tc>
          <w:tcPr>
            <w:tcW w:w="2250" w:type="dxa"/>
            <w:vMerge w:val="restart"/>
            <w:vAlign w:val="center"/>
          </w:tcPr>
          <w:p w14:paraId="3ADF588F" w14:textId="77777777"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existing cross reference to 42 CFR 438.242 at 42 CFR 457.1233(d)</w:t>
            </w:r>
          </w:p>
        </w:tc>
      </w:tr>
      <w:tr w:rsidR="002A220D" w:rsidRPr="000F779A" w14:paraId="7F4DE2D6" w14:textId="77777777" w:rsidTr="00987E4A">
        <w:tc>
          <w:tcPr>
            <w:tcW w:w="2249" w:type="dxa"/>
          </w:tcPr>
          <w:p w14:paraId="516EC636" w14:textId="77777777" w:rsidR="002A220D" w:rsidRPr="000F779A" w:rsidRDefault="002A220D" w:rsidP="001422D5">
            <w:pPr>
              <w:spacing w:before="40" w:after="40"/>
              <w:rPr>
                <w:rFonts w:asciiTheme="minorHAnsi" w:hAnsiTheme="minorHAnsi" w:cstheme="minorHAnsi"/>
                <w:sz w:val="22"/>
                <w:szCs w:val="22"/>
              </w:rPr>
            </w:pPr>
            <w:r w:rsidRPr="000F779A">
              <w:rPr>
                <w:rFonts w:asciiTheme="minorHAnsi" w:hAnsiTheme="minorHAnsi" w:cstheme="minorHAnsi"/>
                <w:sz w:val="22"/>
                <w:szCs w:val="22"/>
              </w:rPr>
              <w:t>Timeframe for prior authorization information availability (compliance date—January 1, 2027)</w:t>
            </w:r>
          </w:p>
        </w:tc>
        <w:tc>
          <w:tcPr>
            <w:tcW w:w="2249" w:type="dxa"/>
          </w:tcPr>
          <w:p w14:paraId="1A87426A" w14:textId="44B0C55D" w:rsidR="002A220D" w:rsidRPr="000F779A" w:rsidRDefault="005E7FB3"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422.119(b)(1)(iv)(B)</w:t>
            </w:r>
          </w:p>
        </w:tc>
        <w:tc>
          <w:tcPr>
            <w:tcW w:w="2249" w:type="dxa"/>
          </w:tcPr>
          <w:p w14:paraId="21B6E2C1" w14:textId="64C5FCFC"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431.60(b)(5)(ii)</w:t>
            </w:r>
          </w:p>
        </w:tc>
        <w:tc>
          <w:tcPr>
            <w:tcW w:w="2249" w:type="dxa"/>
          </w:tcPr>
          <w:p w14:paraId="0025D77D" w14:textId="77777777"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431.60 at 42 CFR 438.242(b)(5)</w:t>
            </w:r>
          </w:p>
        </w:tc>
        <w:tc>
          <w:tcPr>
            <w:tcW w:w="2249" w:type="dxa"/>
          </w:tcPr>
          <w:p w14:paraId="46C893ED" w14:textId="77777777"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457.730(b)(5)(ii)</w:t>
            </w:r>
          </w:p>
        </w:tc>
        <w:tc>
          <w:tcPr>
            <w:tcW w:w="2250" w:type="dxa"/>
            <w:vMerge/>
          </w:tcPr>
          <w:p w14:paraId="17DFC9D0" w14:textId="77777777" w:rsidR="002A220D" w:rsidRPr="000F779A" w:rsidRDefault="002A220D" w:rsidP="001422D5">
            <w:pPr>
              <w:spacing w:before="40" w:after="40"/>
              <w:jc w:val="center"/>
              <w:rPr>
                <w:rFonts w:asciiTheme="minorHAnsi" w:hAnsiTheme="minorHAnsi" w:cstheme="minorHAnsi"/>
                <w:sz w:val="22"/>
                <w:szCs w:val="22"/>
              </w:rPr>
            </w:pPr>
          </w:p>
        </w:tc>
      </w:tr>
      <w:tr w:rsidR="002A220D" w:rsidRPr="000F779A" w14:paraId="30DE197D" w14:textId="77777777" w:rsidTr="00987E4A">
        <w:tc>
          <w:tcPr>
            <w:tcW w:w="2249" w:type="dxa"/>
          </w:tcPr>
          <w:p w14:paraId="6A04275F" w14:textId="77777777" w:rsidR="002A220D" w:rsidRPr="000F779A" w:rsidRDefault="002A220D" w:rsidP="001422D5">
            <w:pPr>
              <w:spacing w:before="40" w:after="40"/>
              <w:rPr>
                <w:rFonts w:asciiTheme="minorHAnsi" w:hAnsiTheme="minorHAnsi" w:cstheme="minorHAnsi"/>
                <w:sz w:val="22"/>
                <w:szCs w:val="22"/>
              </w:rPr>
            </w:pPr>
            <w:r w:rsidRPr="000F779A">
              <w:rPr>
                <w:rFonts w:asciiTheme="minorHAnsi" w:hAnsiTheme="minorHAnsi" w:cstheme="minorHAnsi"/>
                <w:sz w:val="22"/>
                <w:szCs w:val="22"/>
              </w:rPr>
              <w:t>Reporting Patient Access API metrics (compliance date—January 1, 2026)</w:t>
            </w:r>
          </w:p>
        </w:tc>
        <w:tc>
          <w:tcPr>
            <w:tcW w:w="2249" w:type="dxa"/>
          </w:tcPr>
          <w:p w14:paraId="760CEAC3" w14:textId="12789ABA" w:rsidR="002A220D" w:rsidRPr="000F779A" w:rsidRDefault="00377A9A"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422.119(</w:t>
            </w:r>
            <w:r w:rsidR="00BC6918" w:rsidRPr="000F779A">
              <w:rPr>
                <w:rFonts w:asciiTheme="minorHAnsi" w:hAnsiTheme="minorHAnsi" w:cstheme="minorHAnsi"/>
                <w:sz w:val="22"/>
                <w:szCs w:val="22"/>
              </w:rPr>
              <w:t>f)</w:t>
            </w:r>
          </w:p>
        </w:tc>
        <w:tc>
          <w:tcPr>
            <w:tcW w:w="2249" w:type="dxa"/>
          </w:tcPr>
          <w:p w14:paraId="3C675CA0" w14:textId="01500643"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431.60(f)</w:t>
            </w:r>
          </w:p>
        </w:tc>
        <w:tc>
          <w:tcPr>
            <w:tcW w:w="2249" w:type="dxa"/>
          </w:tcPr>
          <w:p w14:paraId="64593C4A" w14:textId="16CED894"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431.60 at 42 CFR 438.242(b)(5)(iii)</w:t>
            </w:r>
          </w:p>
        </w:tc>
        <w:tc>
          <w:tcPr>
            <w:tcW w:w="2249" w:type="dxa"/>
          </w:tcPr>
          <w:p w14:paraId="4E6ADEBD" w14:textId="794E022C" w:rsidR="002A220D" w:rsidRPr="000F779A" w:rsidRDefault="002A220D"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457.730(f)</w:t>
            </w:r>
          </w:p>
        </w:tc>
        <w:tc>
          <w:tcPr>
            <w:tcW w:w="2250" w:type="dxa"/>
            <w:vMerge/>
          </w:tcPr>
          <w:p w14:paraId="74EFDC29" w14:textId="77777777" w:rsidR="002A220D" w:rsidRPr="000F779A" w:rsidRDefault="002A220D" w:rsidP="001422D5">
            <w:pPr>
              <w:spacing w:before="40" w:after="40"/>
              <w:jc w:val="center"/>
              <w:rPr>
                <w:rFonts w:asciiTheme="minorHAnsi" w:hAnsiTheme="minorHAnsi" w:cstheme="minorHAnsi"/>
                <w:sz w:val="22"/>
                <w:szCs w:val="22"/>
              </w:rPr>
            </w:pPr>
          </w:p>
        </w:tc>
      </w:tr>
      <w:tr w:rsidR="002A220D" w:rsidRPr="000F779A" w14:paraId="4EDE57E4" w14:textId="77777777" w:rsidTr="00987E4A">
        <w:tc>
          <w:tcPr>
            <w:tcW w:w="2249" w:type="dxa"/>
          </w:tcPr>
          <w:p w14:paraId="5384AF58" w14:textId="343C7476" w:rsidR="002A220D" w:rsidRPr="000F779A" w:rsidRDefault="002A220D" w:rsidP="00641676">
            <w:pPr>
              <w:spacing w:before="40" w:after="40"/>
              <w:rPr>
                <w:rFonts w:asciiTheme="minorHAnsi" w:hAnsiTheme="minorHAnsi" w:cstheme="minorHAnsi"/>
                <w:sz w:val="22"/>
                <w:szCs w:val="22"/>
              </w:rPr>
            </w:pPr>
            <w:r w:rsidRPr="000F779A">
              <w:rPr>
                <w:rFonts w:asciiTheme="minorHAnsi" w:hAnsiTheme="minorHAnsi" w:cstheme="minorHAnsi"/>
                <w:sz w:val="22"/>
                <w:szCs w:val="22"/>
              </w:rPr>
              <w:t>Revisions to the scope of clinical data to be made available via the Patient Access API (effective date of the final rule).</w:t>
            </w:r>
          </w:p>
        </w:tc>
        <w:tc>
          <w:tcPr>
            <w:tcW w:w="2249" w:type="dxa"/>
          </w:tcPr>
          <w:p w14:paraId="27F1D753" w14:textId="039727B7" w:rsidR="002A220D" w:rsidRPr="000F779A" w:rsidRDefault="00BC6918" w:rsidP="0064167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422.119(b)(1)(iii)</w:t>
            </w:r>
          </w:p>
        </w:tc>
        <w:tc>
          <w:tcPr>
            <w:tcW w:w="2249" w:type="dxa"/>
          </w:tcPr>
          <w:p w14:paraId="2447A221" w14:textId="397A67EE" w:rsidR="002A220D" w:rsidRPr="000F779A" w:rsidRDefault="002A220D" w:rsidP="0064167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431.60(b)(3)</w:t>
            </w:r>
          </w:p>
        </w:tc>
        <w:tc>
          <w:tcPr>
            <w:tcW w:w="2249" w:type="dxa"/>
          </w:tcPr>
          <w:p w14:paraId="6B2399B0" w14:textId="0862CF11" w:rsidR="002A220D" w:rsidRPr="000F779A" w:rsidRDefault="002A220D" w:rsidP="0064167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431.60 at 42 CFR 438.242(b)(5)</w:t>
            </w:r>
          </w:p>
        </w:tc>
        <w:tc>
          <w:tcPr>
            <w:tcW w:w="2249" w:type="dxa"/>
          </w:tcPr>
          <w:p w14:paraId="4FCBDCA3" w14:textId="38C736BC" w:rsidR="002A220D" w:rsidRPr="000F779A" w:rsidRDefault="002A220D" w:rsidP="0064167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457.730(b)(3)</w:t>
            </w:r>
          </w:p>
        </w:tc>
        <w:tc>
          <w:tcPr>
            <w:tcW w:w="2250" w:type="dxa"/>
            <w:vMerge/>
          </w:tcPr>
          <w:p w14:paraId="5ADC420A" w14:textId="77777777" w:rsidR="002A220D" w:rsidRPr="000F779A" w:rsidRDefault="002A220D" w:rsidP="00641676">
            <w:pPr>
              <w:spacing w:before="40" w:after="40"/>
              <w:jc w:val="center"/>
              <w:rPr>
                <w:rFonts w:asciiTheme="minorHAnsi" w:hAnsiTheme="minorHAnsi" w:cstheme="minorHAnsi"/>
                <w:sz w:val="22"/>
                <w:szCs w:val="22"/>
              </w:rPr>
            </w:pPr>
          </w:p>
        </w:tc>
      </w:tr>
      <w:tr w:rsidR="002A220D" w:rsidRPr="000F779A" w14:paraId="6D8E4FEF" w14:textId="77777777" w:rsidTr="00987E4A">
        <w:tc>
          <w:tcPr>
            <w:tcW w:w="2249" w:type="dxa"/>
          </w:tcPr>
          <w:p w14:paraId="7BA47D3C" w14:textId="658D9AEB" w:rsidR="002A220D" w:rsidRPr="000F779A" w:rsidRDefault="002A220D" w:rsidP="00E07479">
            <w:pPr>
              <w:spacing w:before="40" w:after="40"/>
              <w:rPr>
                <w:rFonts w:asciiTheme="minorHAnsi" w:hAnsiTheme="minorHAnsi" w:cstheme="minorHAnsi"/>
                <w:sz w:val="22"/>
                <w:szCs w:val="22"/>
              </w:rPr>
            </w:pPr>
            <w:r w:rsidRPr="000F779A">
              <w:rPr>
                <w:rFonts w:asciiTheme="minorHAnsi" w:hAnsiTheme="minorHAnsi" w:cstheme="minorHAnsi"/>
                <w:sz w:val="22"/>
                <w:szCs w:val="22"/>
              </w:rPr>
              <w:t>Patient Access API denial/discontinuation of access (effective date of the final rule).</w:t>
            </w:r>
          </w:p>
        </w:tc>
        <w:tc>
          <w:tcPr>
            <w:tcW w:w="2249" w:type="dxa"/>
          </w:tcPr>
          <w:p w14:paraId="1333717C" w14:textId="0F9700E8" w:rsidR="002A220D" w:rsidRPr="000F779A" w:rsidRDefault="00C055FF" w:rsidP="00E07479">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422.119(e)</w:t>
            </w:r>
            <w:r w:rsidR="000521E2" w:rsidRPr="000F779A">
              <w:rPr>
                <w:rFonts w:asciiTheme="minorHAnsi" w:hAnsiTheme="minorHAnsi" w:cstheme="minorHAnsi"/>
                <w:sz w:val="22"/>
                <w:szCs w:val="22"/>
              </w:rPr>
              <w:t>(2)</w:t>
            </w:r>
          </w:p>
        </w:tc>
        <w:tc>
          <w:tcPr>
            <w:tcW w:w="2249" w:type="dxa"/>
          </w:tcPr>
          <w:p w14:paraId="706553F7" w14:textId="59EDCF38" w:rsidR="002A220D" w:rsidRPr="000F779A" w:rsidRDefault="002A220D" w:rsidP="00E07479">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431.60(e)(2)</w:t>
            </w:r>
          </w:p>
        </w:tc>
        <w:tc>
          <w:tcPr>
            <w:tcW w:w="2249" w:type="dxa"/>
          </w:tcPr>
          <w:p w14:paraId="7A531D98" w14:textId="58F11056" w:rsidR="002A220D" w:rsidRPr="000F779A" w:rsidRDefault="002A220D" w:rsidP="00E07479">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431.60 at 42 CFR 438.242(b)(5)</w:t>
            </w:r>
          </w:p>
        </w:tc>
        <w:tc>
          <w:tcPr>
            <w:tcW w:w="2249" w:type="dxa"/>
          </w:tcPr>
          <w:p w14:paraId="61A33B97" w14:textId="4E4B5F44" w:rsidR="002A220D" w:rsidRPr="000F779A" w:rsidRDefault="002A220D" w:rsidP="00E07479">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457.730(e)(2)</w:t>
            </w:r>
          </w:p>
        </w:tc>
        <w:tc>
          <w:tcPr>
            <w:tcW w:w="2250" w:type="dxa"/>
            <w:vMerge/>
          </w:tcPr>
          <w:p w14:paraId="4E31F4EF" w14:textId="77777777" w:rsidR="002A220D" w:rsidRPr="000F779A" w:rsidRDefault="002A220D" w:rsidP="00E07479">
            <w:pPr>
              <w:spacing w:before="40" w:after="40"/>
              <w:jc w:val="center"/>
              <w:rPr>
                <w:rFonts w:asciiTheme="minorHAnsi" w:hAnsiTheme="minorHAnsi" w:cstheme="minorHAnsi"/>
                <w:sz w:val="22"/>
                <w:szCs w:val="22"/>
              </w:rPr>
            </w:pPr>
          </w:p>
        </w:tc>
      </w:tr>
    </w:tbl>
    <w:p w14:paraId="7EEE30A9" w14:textId="77777777" w:rsidR="007E4B73" w:rsidRPr="000F779A" w:rsidRDefault="007E4B73">
      <w:pPr>
        <w:rPr>
          <w:rFonts w:asciiTheme="minorHAnsi" w:hAnsiTheme="minorHAnsi" w:cstheme="minorHAnsi"/>
          <w:sz w:val="16"/>
          <w:szCs w:val="16"/>
        </w:rPr>
      </w:pPr>
    </w:p>
    <w:p w14:paraId="2CA29A67" w14:textId="59A88340" w:rsidR="007E4B73" w:rsidRPr="000F779A" w:rsidRDefault="007E4B73" w:rsidP="007E4B73">
      <w:pPr>
        <w:pageBreakBefore/>
        <w:spacing w:before="40" w:after="40"/>
        <w:jc w:val="center"/>
        <w:rPr>
          <w:rFonts w:asciiTheme="minorHAnsi" w:hAnsiTheme="minorHAnsi" w:cstheme="minorHAnsi"/>
          <w:b/>
          <w:bCs/>
          <w:sz w:val="22"/>
          <w:szCs w:val="22"/>
        </w:rPr>
      </w:pPr>
      <w:r w:rsidRPr="000F779A">
        <w:rPr>
          <w:rFonts w:asciiTheme="minorHAnsi" w:hAnsiTheme="minorHAnsi" w:cstheme="minorHAnsi"/>
          <w:b/>
          <w:bCs/>
          <w:sz w:val="22"/>
          <w:szCs w:val="22"/>
        </w:rPr>
        <w:lastRenderedPageBreak/>
        <w:t xml:space="preserve">Provider Access API </w:t>
      </w:r>
      <w:r w:rsidR="00C7649C" w:rsidRPr="000F779A">
        <w:rPr>
          <w:rFonts w:asciiTheme="minorHAnsi" w:hAnsiTheme="minorHAnsi" w:cstheme="minorHAnsi"/>
          <w:b/>
          <w:bCs/>
          <w:sz w:val="22"/>
          <w:szCs w:val="22"/>
        </w:rPr>
        <w:t>F</w:t>
      </w:r>
      <w:r w:rsidRPr="000F779A">
        <w:rPr>
          <w:rFonts w:asciiTheme="minorHAnsi" w:hAnsiTheme="minorHAnsi" w:cstheme="minorHAnsi"/>
          <w:b/>
          <w:bCs/>
          <w:sz w:val="22"/>
          <w:szCs w:val="22"/>
        </w:rPr>
        <w:t>inal Policies</w:t>
      </w:r>
      <w:r w:rsidR="00AA2ECE" w:rsidRPr="000F779A">
        <w:rPr>
          <w:rFonts w:asciiTheme="minorHAnsi" w:hAnsiTheme="minorHAnsi" w:cstheme="minorHAnsi"/>
          <w:b/>
          <w:bCs/>
          <w:sz w:val="22"/>
          <w:szCs w:val="22"/>
        </w:rPr>
        <w:t xml:space="preserve"> and</w:t>
      </w:r>
      <w:r w:rsidRPr="000F779A">
        <w:rPr>
          <w:rFonts w:asciiTheme="minorHAnsi" w:hAnsiTheme="minorHAnsi" w:cstheme="minorHAnsi"/>
          <w:b/>
          <w:bCs/>
          <w:sz w:val="22"/>
          <w:szCs w:val="22"/>
        </w:rPr>
        <w:t xml:space="preserve"> Cross References</w:t>
      </w:r>
    </w:p>
    <w:p w14:paraId="21230BD6" w14:textId="03C5EFD0" w:rsidR="00C33A3C" w:rsidRPr="000F779A" w:rsidRDefault="00C33A3C" w:rsidP="00C33A3C">
      <w:pPr>
        <w:spacing w:before="40" w:after="40"/>
        <w:jc w:val="center"/>
        <w:rPr>
          <w:rFonts w:asciiTheme="minorHAnsi" w:hAnsiTheme="minorHAnsi" w:cstheme="minorHAnsi"/>
          <w:b/>
          <w:bCs/>
          <w:sz w:val="22"/>
          <w:szCs w:val="22"/>
        </w:rPr>
      </w:pPr>
      <w:r w:rsidRPr="000F779A">
        <w:rPr>
          <w:rFonts w:asciiTheme="minorHAnsi" w:hAnsiTheme="minorHAnsi" w:cstheme="minorHAnsi"/>
          <w:b/>
          <w:bCs/>
          <w:sz w:val="22"/>
          <w:szCs w:val="22"/>
        </w:rPr>
        <w:t xml:space="preserve">(Table </w:t>
      </w:r>
      <w:r w:rsidR="00D742CB" w:rsidRPr="000F779A">
        <w:rPr>
          <w:rFonts w:asciiTheme="minorHAnsi" w:hAnsiTheme="minorHAnsi" w:cstheme="minorHAnsi"/>
          <w:b/>
          <w:bCs/>
          <w:sz w:val="22"/>
          <w:szCs w:val="22"/>
        </w:rPr>
        <w:t>C1—Page 8816)</w:t>
      </w:r>
    </w:p>
    <w:tbl>
      <w:tblPr>
        <w:tblStyle w:val="TableGrid"/>
        <w:tblW w:w="13770" w:type="dxa"/>
        <w:tblInd w:w="-275" w:type="dxa"/>
        <w:tblLayout w:type="fixed"/>
        <w:tblLook w:val="04A0" w:firstRow="1" w:lastRow="0" w:firstColumn="1" w:lastColumn="0" w:noHBand="0" w:noVBand="1"/>
      </w:tblPr>
      <w:tblGrid>
        <w:gridCol w:w="2295"/>
        <w:gridCol w:w="2295"/>
        <w:gridCol w:w="2295"/>
        <w:gridCol w:w="2295"/>
        <w:gridCol w:w="2295"/>
        <w:gridCol w:w="2295"/>
      </w:tblGrid>
      <w:tr w:rsidR="0044057F" w:rsidRPr="000F779A" w14:paraId="733B39EB" w14:textId="77777777" w:rsidTr="00987E4A">
        <w:trPr>
          <w:tblHeader/>
        </w:trPr>
        <w:tc>
          <w:tcPr>
            <w:tcW w:w="2295" w:type="dxa"/>
            <w:shd w:val="clear" w:color="auto" w:fill="0070C0"/>
          </w:tcPr>
          <w:p w14:paraId="750A29F2" w14:textId="77777777" w:rsidR="0044057F" w:rsidRPr="000F779A" w:rsidRDefault="0044057F" w:rsidP="00BB1C25">
            <w:pPr>
              <w:spacing w:before="160" w:after="160"/>
              <w:jc w:val="center"/>
              <w:rPr>
                <w:rFonts w:asciiTheme="minorHAnsi" w:hAnsiTheme="minorHAnsi" w:cstheme="minorHAnsi"/>
                <w:b/>
                <w:bCs/>
                <w:color w:val="FFFFFF" w:themeColor="background1"/>
                <w:sz w:val="22"/>
                <w:szCs w:val="22"/>
              </w:rPr>
            </w:pPr>
            <w:bookmarkStart w:id="1" w:name="_Hlk169593368"/>
            <w:r w:rsidRPr="000F779A">
              <w:rPr>
                <w:rFonts w:asciiTheme="minorHAnsi" w:hAnsiTheme="minorHAnsi" w:cstheme="minorHAnsi"/>
                <w:b/>
                <w:bCs/>
                <w:color w:val="FFFFFF" w:themeColor="background1"/>
                <w:sz w:val="22"/>
                <w:szCs w:val="22"/>
              </w:rPr>
              <w:t>Requirement</w:t>
            </w:r>
          </w:p>
        </w:tc>
        <w:tc>
          <w:tcPr>
            <w:tcW w:w="2295" w:type="dxa"/>
            <w:shd w:val="clear" w:color="auto" w:fill="0070C0"/>
          </w:tcPr>
          <w:p w14:paraId="5D89E6D4" w14:textId="26A0B5BF" w:rsidR="0044057F" w:rsidRPr="000F779A" w:rsidRDefault="00854A94"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 xml:space="preserve">Medicare </w:t>
            </w:r>
            <w:r w:rsidR="00C33A3C" w:rsidRPr="000F779A">
              <w:rPr>
                <w:rFonts w:asciiTheme="minorHAnsi" w:hAnsiTheme="minorHAnsi" w:cstheme="minorHAnsi"/>
                <w:b/>
                <w:bCs/>
                <w:color w:val="FFFFFF" w:themeColor="background1"/>
                <w:sz w:val="22"/>
                <w:szCs w:val="22"/>
              </w:rPr>
              <w:t>Advantage</w:t>
            </w:r>
          </w:p>
        </w:tc>
        <w:tc>
          <w:tcPr>
            <w:tcW w:w="2295" w:type="dxa"/>
            <w:shd w:val="clear" w:color="auto" w:fill="0070C0"/>
          </w:tcPr>
          <w:p w14:paraId="21F82286" w14:textId="166FE3FC" w:rsidR="0044057F" w:rsidRPr="000F779A" w:rsidRDefault="0044057F"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FFS</w:t>
            </w:r>
          </w:p>
        </w:tc>
        <w:tc>
          <w:tcPr>
            <w:tcW w:w="2295" w:type="dxa"/>
            <w:shd w:val="clear" w:color="auto" w:fill="0070C0"/>
          </w:tcPr>
          <w:p w14:paraId="47514107" w14:textId="77777777" w:rsidR="0044057F" w:rsidRPr="000F779A" w:rsidRDefault="0044057F"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Managed Care</w:t>
            </w:r>
          </w:p>
        </w:tc>
        <w:tc>
          <w:tcPr>
            <w:tcW w:w="2295" w:type="dxa"/>
            <w:shd w:val="clear" w:color="auto" w:fill="0070C0"/>
          </w:tcPr>
          <w:p w14:paraId="133874ED" w14:textId="77777777" w:rsidR="0044057F" w:rsidRPr="000F779A" w:rsidRDefault="0044057F"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FFS</w:t>
            </w:r>
          </w:p>
        </w:tc>
        <w:tc>
          <w:tcPr>
            <w:tcW w:w="2295" w:type="dxa"/>
            <w:shd w:val="clear" w:color="auto" w:fill="0070C0"/>
          </w:tcPr>
          <w:p w14:paraId="77EA513B" w14:textId="77777777" w:rsidR="0044057F" w:rsidRPr="000F779A" w:rsidRDefault="0044057F"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Managed Care</w:t>
            </w:r>
          </w:p>
        </w:tc>
      </w:tr>
      <w:tr w:rsidR="0044057F" w:rsidRPr="000F779A" w14:paraId="34D89357" w14:textId="77777777" w:rsidTr="00987E4A">
        <w:tc>
          <w:tcPr>
            <w:tcW w:w="2295" w:type="dxa"/>
            <w:shd w:val="clear" w:color="auto" w:fill="FFFFFF" w:themeFill="background1"/>
          </w:tcPr>
          <w:p w14:paraId="3223D35E" w14:textId="0D25602E" w:rsidR="0044057F" w:rsidRPr="000F779A" w:rsidRDefault="0044057F" w:rsidP="001C226B">
            <w:pPr>
              <w:spacing w:before="40" w:after="40"/>
              <w:rPr>
                <w:rFonts w:asciiTheme="minorHAnsi" w:hAnsiTheme="minorHAnsi" w:cstheme="minorHAnsi"/>
                <w:sz w:val="22"/>
                <w:szCs w:val="22"/>
              </w:rPr>
            </w:pPr>
            <w:r w:rsidRPr="000F779A">
              <w:rPr>
                <w:rFonts w:asciiTheme="minorHAnsi" w:hAnsiTheme="minorHAnsi" w:cstheme="minorHAnsi"/>
                <w:sz w:val="22"/>
                <w:szCs w:val="22"/>
              </w:rPr>
              <w:t>Provider Access API for individual patient information (compliance date January 1, 2027)</w:t>
            </w:r>
          </w:p>
        </w:tc>
        <w:tc>
          <w:tcPr>
            <w:tcW w:w="2295" w:type="dxa"/>
            <w:shd w:val="clear" w:color="auto" w:fill="FFFFFF" w:themeFill="background1"/>
          </w:tcPr>
          <w:p w14:paraId="5423482C" w14:textId="0E43F1ED" w:rsidR="0044057F" w:rsidRPr="000F779A" w:rsidRDefault="00EF0FE2"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422.121(a)(1)</w:t>
            </w:r>
          </w:p>
        </w:tc>
        <w:tc>
          <w:tcPr>
            <w:tcW w:w="2295" w:type="dxa"/>
            <w:shd w:val="clear" w:color="auto" w:fill="FFFFFF" w:themeFill="background1"/>
          </w:tcPr>
          <w:p w14:paraId="23709C16" w14:textId="26277E41" w:rsidR="0044057F" w:rsidRPr="000F779A" w:rsidRDefault="0044057F"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431.61(a)(1)</w:t>
            </w:r>
          </w:p>
        </w:tc>
        <w:tc>
          <w:tcPr>
            <w:tcW w:w="2295" w:type="dxa"/>
            <w:shd w:val="clear" w:color="auto" w:fill="FFFFFF" w:themeFill="background1"/>
          </w:tcPr>
          <w:p w14:paraId="3220B0CA" w14:textId="00EF1E7A" w:rsidR="0044057F" w:rsidRPr="000F779A" w:rsidRDefault="0044057F"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 at 42 CFR 438.242(b)(7)</w:t>
            </w:r>
          </w:p>
        </w:tc>
        <w:tc>
          <w:tcPr>
            <w:tcW w:w="2295" w:type="dxa"/>
            <w:shd w:val="clear" w:color="auto" w:fill="FFFFFF" w:themeFill="background1"/>
          </w:tcPr>
          <w:p w14:paraId="2B2B0316" w14:textId="36D4A20B" w:rsidR="0044057F" w:rsidRPr="000F779A" w:rsidRDefault="0044057F" w:rsidP="001422D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457.731.(a)(1)</w:t>
            </w:r>
          </w:p>
        </w:tc>
        <w:tc>
          <w:tcPr>
            <w:tcW w:w="2295" w:type="dxa"/>
            <w:vMerge w:val="restart"/>
            <w:shd w:val="clear" w:color="auto" w:fill="FFFFFF" w:themeFill="background1"/>
            <w:vAlign w:val="center"/>
          </w:tcPr>
          <w:p w14:paraId="2C222455" w14:textId="4C145D2C" w:rsidR="0044057F" w:rsidRPr="000F779A" w:rsidRDefault="0044057F" w:rsidP="00CF1987">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438.242 at 42 CFR 457.12.33(d)</w:t>
            </w:r>
          </w:p>
        </w:tc>
      </w:tr>
      <w:bookmarkEnd w:id="1"/>
      <w:tr w:rsidR="0044057F" w:rsidRPr="000F779A" w14:paraId="6A40736D" w14:textId="77777777" w:rsidTr="00987E4A">
        <w:tc>
          <w:tcPr>
            <w:tcW w:w="2295" w:type="dxa"/>
            <w:shd w:val="clear" w:color="auto" w:fill="FFFFFF" w:themeFill="background1"/>
          </w:tcPr>
          <w:p w14:paraId="224BB3B5" w14:textId="014770A5" w:rsidR="0044057F" w:rsidRPr="000F779A" w:rsidRDefault="0044057F" w:rsidP="00240215">
            <w:pPr>
              <w:spacing w:before="40" w:after="40"/>
              <w:rPr>
                <w:rFonts w:asciiTheme="minorHAnsi" w:hAnsiTheme="minorHAnsi" w:cstheme="minorHAnsi"/>
                <w:sz w:val="22"/>
                <w:szCs w:val="22"/>
              </w:rPr>
            </w:pPr>
            <w:r w:rsidRPr="000F779A">
              <w:rPr>
                <w:rFonts w:asciiTheme="minorHAnsi" w:hAnsiTheme="minorHAnsi" w:cstheme="minorHAnsi"/>
                <w:sz w:val="22"/>
                <w:szCs w:val="22"/>
              </w:rPr>
              <w:t>Data content (compliance date January 1, 2027)</w:t>
            </w:r>
          </w:p>
        </w:tc>
        <w:tc>
          <w:tcPr>
            <w:tcW w:w="2295" w:type="dxa"/>
            <w:shd w:val="clear" w:color="auto" w:fill="FFFFFF" w:themeFill="background1"/>
          </w:tcPr>
          <w:p w14:paraId="79DE599A" w14:textId="0A210B9C" w:rsidR="0044057F" w:rsidRPr="000F779A" w:rsidRDefault="00EF0FE2"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422.121(a)(2)</w:t>
            </w:r>
          </w:p>
        </w:tc>
        <w:tc>
          <w:tcPr>
            <w:tcW w:w="2295" w:type="dxa"/>
            <w:shd w:val="clear" w:color="auto" w:fill="FFFFFF" w:themeFill="background1"/>
          </w:tcPr>
          <w:p w14:paraId="4D39E5EB" w14:textId="69D3B547" w:rsidR="0044057F" w:rsidRPr="000F779A" w:rsidRDefault="0044057F"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431.61(a)(2)</w:t>
            </w:r>
          </w:p>
        </w:tc>
        <w:tc>
          <w:tcPr>
            <w:tcW w:w="2295" w:type="dxa"/>
            <w:shd w:val="clear" w:color="auto" w:fill="FFFFFF" w:themeFill="background1"/>
          </w:tcPr>
          <w:p w14:paraId="413646EE" w14:textId="14048F6F" w:rsidR="0044057F" w:rsidRPr="000F779A" w:rsidRDefault="0044057F"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 at 42 CFR 438.242(b)(7)</w:t>
            </w:r>
          </w:p>
        </w:tc>
        <w:tc>
          <w:tcPr>
            <w:tcW w:w="2295" w:type="dxa"/>
            <w:shd w:val="clear" w:color="auto" w:fill="FFFFFF" w:themeFill="background1"/>
          </w:tcPr>
          <w:p w14:paraId="5A4BFB24" w14:textId="222C0FFE" w:rsidR="0044057F" w:rsidRPr="000F779A" w:rsidRDefault="0044057F"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457.731.(a)(2)</w:t>
            </w:r>
          </w:p>
        </w:tc>
        <w:tc>
          <w:tcPr>
            <w:tcW w:w="2295" w:type="dxa"/>
            <w:vMerge/>
            <w:shd w:val="clear" w:color="auto" w:fill="FFFFFF" w:themeFill="background1"/>
          </w:tcPr>
          <w:p w14:paraId="2FEE7663" w14:textId="77777777" w:rsidR="0044057F" w:rsidRPr="000F779A" w:rsidRDefault="0044057F" w:rsidP="00240215">
            <w:pPr>
              <w:spacing w:before="40" w:after="40"/>
              <w:jc w:val="center"/>
              <w:rPr>
                <w:rFonts w:asciiTheme="minorHAnsi" w:hAnsiTheme="minorHAnsi" w:cstheme="minorHAnsi"/>
                <w:sz w:val="22"/>
                <w:szCs w:val="22"/>
              </w:rPr>
            </w:pPr>
          </w:p>
        </w:tc>
      </w:tr>
      <w:tr w:rsidR="0044057F" w:rsidRPr="000F779A" w14:paraId="1912AC31" w14:textId="77777777" w:rsidTr="00987E4A">
        <w:tc>
          <w:tcPr>
            <w:tcW w:w="2295" w:type="dxa"/>
            <w:shd w:val="clear" w:color="auto" w:fill="FFFFFF" w:themeFill="background1"/>
          </w:tcPr>
          <w:p w14:paraId="16D60AFF" w14:textId="6EE3617C" w:rsidR="0044057F" w:rsidRPr="000F779A" w:rsidRDefault="0044057F" w:rsidP="00240215">
            <w:pPr>
              <w:spacing w:before="40" w:after="40"/>
              <w:rPr>
                <w:rFonts w:asciiTheme="minorHAnsi" w:hAnsiTheme="minorHAnsi" w:cstheme="minorHAnsi"/>
                <w:sz w:val="22"/>
                <w:szCs w:val="22"/>
              </w:rPr>
            </w:pPr>
            <w:r w:rsidRPr="000F779A">
              <w:rPr>
                <w:rFonts w:asciiTheme="minorHAnsi" w:hAnsiTheme="minorHAnsi" w:cstheme="minorHAnsi"/>
                <w:sz w:val="22"/>
                <w:szCs w:val="22"/>
              </w:rPr>
              <w:t>Applicability of Provider Access API to NEMT PAHPS (compliance date January 1, 2027)</w:t>
            </w:r>
          </w:p>
        </w:tc>
        <w:tc>
          <w:tcPr>
            <w:tcW w:w="2295" w:type="dxa"/>
            <w:shd w:val="clear" w:color="auto" w:fill="FFFFFF" w:themeFill="background1"/>
          </w:tcPr>
          <w:p w14:paraId="0DF44F94" w14:textId="1CB0ECEB" w:rsidR="0044057F" w:rsidRPr="000F779A" w:rsidRDefault="008F4772"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Not Applicable (NA)</w:t>
            </w:r>
          </w:p>
        </w:tc>
        <w:tc>
          <w:tcPr>
            <w:tcW w:w="2295" w:type="dxa"/>
            <w:shd w:val="clear" w:color="auto" w:fill="FFFFFF" w:themeFill="background1"/>
          </w:tcPr>
          <w:p w14:paraId="2C709C60" w14:textId="444B2D25" w:rsidR="0044057F" w:rsidRPr="000F779A" w:rsidRDefault="000F786F"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295" w:type="dxa"/>
            <w:shd w:val="clear" w:color="auto" w:fill="FFFFFF" w:themeFill="background1"/>
          </w:tcPr>
          <w:p w14:paraId="772BCA24" w14:textId="0572EBCD" w:rsidR="0044057F" w:rsidRPr="000F779A" w:rsidRDefault="0044057F"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438.9(b)(7)</w:t>
            </w:r>
          </w:p>
        </w:tc>
        <w:tc>
          <w:tcPr>
            <w:tcW w:w="2295" w:type="dxa"/>
            <w:shd w:val="clear" w:color="auto" w:fill="FFFFFF" w:themeFill="background1"/>
          </w:tcPr>
          <w:p w14:paraId="65F6BAEA" w14:textId="070A64DF" w:rsidR="0044057F" w:rsidRPr="000F779A" w:rsidRDefault="0044057F"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295" w:type="dxa"/>
            <w:shd w:val="clear" w:color="auto" w:fill="FFFFFF" w:themeFill="background1"/>
          </w:tcPr>
          <w:p w14:paraId="456D9C51" w14:textId="77029DBD" w:rsidR="0044057F" w:rsidRPr="000F779A" w:rsidRDefault="0044057F" w:rsidP="00240215">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457.1206(b)(/6)</w:t>
            </w:r>
          </w:p>
        </w:tc>
      </w:tr>
      <w:tr w:rsidR="0044057F" w:rsidRPr="000F779A" w14:paraId="4632398D" w14:textId="77777777" w:rsidTr="00987E4A">
        <w:tc>
          <w:tcPr>
            <w:tcW w:w="2295" w:type="dxa"/>
            <w:shd w:val="clear" w:color="auto" w:fill="FFFFFF" w:themeFill="background1"/>
          </w:tcPr>
          <w:p w14:paraId="28AA15E9" w14:textId="2B6BABCF" w:rsidR="0044057F" w:rsidRPr="000F779A" w:rsidRDefault="0044057F" w:rsidP="007C5196">
            <w:pPr>
              <w:spacing w:before="40" w:after="40"/>
              <w:rPr>
                <w:rFonts w:asciiTheme="minorHAnsi" w:hAnsiTheme="minorHAnsi" w:cstheme="minorHAnsi"/>
                <w:sz w:val="22"/>
                <w:szCs w:val="22"/>
              </w:rPr>
            </w:pPr>
            <w:r w:rsidRPr="000F779A">
              <w:rPr>
                <w:rFonts w:asciiTheme="minorHAnsi" w:hAnsiTheme="minorHAnsi" w:cstheme="minorHAnsi"/>
                <w:sz w:val="22"/>
                <w:szCs w:val="22"/>
              </w:rPr>
              <w:t>Attribution (compliance date January 1, 2027)</w:t>
            </w:r>
          </w:p>
        </w:tc>
        <w:tc>
          <w:tcPr>
            <w:tcW w:w="2295" w:type="dxa"/>
            <w:shd w:val="clear" w:color="auto" w:fill="FFFFFF" w:themeFill="background1"/>
          </w:tcPr>
          <w:p w14:paraId="34CA5FB5" w14:textId="0CC033AF" w:rsidR="0044057F" w:rsidRPr="000F779A" w:rsidRDefault="001F6764" w:rsidP="007C519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422.121(a)(3)</w:t>
            </w:r>
          </w:p>
        </w:tc>
        <w:tc>
          <w:tcPr>
            <w:tcW w:w="2295" w:type="dxa"/>
            <w:shd w:val="clear" w:color="auto" w:fill="FFFFFF" w:themeFill="background1"/>
          </w:tcPr>
          <w:p w14:paraId="201763FD" w14:textId="505700E6" w:rsidR="0044057F" w:rsidRPr="000F779A" w:rsidRDefault="0044057F" w:rsidP="007C519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431.61(a)(3)</w:t>
            </w:r>
          </w:p>
        </w:tc>
        <w:tc>
          <w:tcPr>
            <w:tcW w:w="2295" w:type="dxa"/>
            <w:shd w:val="clear" w:color="auto" w:fill="FFFFFF" w:themeFill="background1"/>
          </w:tcPr>
          <w:p w14:paraId="3C639A4E" w14:textId="30F9F3EB" w:rsidR="0044057F" w:rsidRPr="000F779A" w:rsidRDefault="0044057F" w:rsidP="007C519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 at 42 CFR 438.242(b)(7)</w:t>
            </w:r>
          </w:p>
        </w:tc>
        <w:tc>
          <w:tcPr>
            <w:tcW w:w="2295" w:type="dxa"/>
            <w:shd w:val="clear" w:color="auto" w:fill="FFFFFF" w:themeFill="background1"/>
          </w:tcPr>
          <w:p w14:paraId="5423816B" w14:textId="5D1EEAA9" w:rsidR="0044057F" w:rsidRPr="000F779A" w:rsidRDefault="0044057F" w:rsidP="007C519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457.731(a)(3)</w:t>
            </w:r>
          </w:p>
        </w:tc>
        <w:tc>
          <w:tcPr>
            <w:tcW w:w="2295" w:type="dxa"/>
            <w:vMerge w:val="restart"/>
            <w:shd w:val="clear" w:color="auto" w:fill="FFFFFF" w:themeFill="background1"/>
            <w:vAlign w:val="center"/>
          </w:tcPr>
          <w:p w14:paraId="7128D2F7" w14:textId="76C0D00C" w:rsidR="0044057F" w:rsidRPr="000F779A" w:rsidRDefault="0044057F" w:rsidP="007C519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438.242 at 42 CFR 457.12.33(d)</w:t>
            </w:r>
          </w:p>
        </w:tc>
      </w:tr>
      <w:tr w:rsidR="0044057F" w:rsidRPr="000F779A" w14:paraId="21A3B67A" w14:textId="77777777" w:rsidTr="00987E4A">
        <w:tc>
          <w:tcPr>
            <w:tcW w:w="2295" w:type="dxa"/>
            <w:shd w:val="clear" w:color="auto" w:fill="FFFFFF" w:themeFill="background1"/>
          </w:tcPr>
          <w:p w14:paraId="5993ED7A" w14:textId="68F9AF38" w:rsidR="0044057F" w:rsidRPr="000F779A" w:rsidRDefault="0044057F" w:rsidP="00697124">
            <w:pPr>
              <w:spacing w:before="40" w:after="40"/>
              <w:rPr>
                <w:rFonts w:asciiTheme="minorHAnsi" w:hAnsiTheme="minorHAnsi" w:cstheme="minorHAnsi"/>
                <w:sz w:val="22"/>
                <w:szCs w:val="22"/>
              </w:rPr>
            </w:pPr>
            <w:r w:rsidRPr="000F779A">
              <w:rPr>
                <w:rFonts w:asciiTheme="minorHAnsi" w:hAnsiTheme="minorHAnsi" w:cstheme="minorHAnsi"/>
                <w:sz w:val="22"/>
                <w:szCs w:val="22"/>
              </w:rPr>
              <w:t>Opt Out (compliance date January 1, 2027)</w:t>
            </w:r>
          </w:p>
        </w:tc>
        <w:tc>
          <w:tcPr>
            <w:tcW w:w="2295" w:type="dxa"/>
            <w:shd w:val="clear" w:color="auto" w:fill="FFFFFF" w:themeFill="background1"/>
          </w:tcPr>
          <w:p w14:paraId="696114A1" w14:textId="00264300" w:rsidR="0044057F" w:rsidRPr="000F779A" w:rsidRDefault="001F6764" w:rsidP="0069712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422.121(a)(4)(i)</w:t>
            </w:r>
          </w:p>
        </w:tc>
        <w:tc>
          <w:tcPr>
            <w:tcW w:w="2295" w:type="dxa"/>
            <w:shd w:val="clear" w:color="auto" w:fill="FFFFFF" w:themeFill="background1"/>
          </w:tcPr>
          <w:p w14:paraId="1B0A5816" w14:textId="35E6914D" w:rsidR="0044057F" w:rsidRPr="000F779A" w:rsidRDefault="0044057F" w:rsidP="0069712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431.61(a)(4)(i)</w:t>
            </w:r>
          </w:p>
        </w:tc>
        <w:tc>
          <w:tcPr>
            <w:tcW w:w="2295" w:type="dxa"/>
            <w:shd w:val="clear" w:color="auto" w:fill="FFFFFF" w:themeFill="background1"/>
          </w:tcPr>
          <w:p w14:paraId="76E1F3A5" w14:textId="67C77BFE" w:rsidR="0044057F" w:rsidRPr="000F779A" w:rsidRDefault="0044057F" w:rsidP="0069712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 at 42 CFR 438.242(b)(7)</w:t>
            </w:r>
          </w:p>
        </w:tc>
        <w:tc>
          <w:tcPr>
            <w:tcW w:w="2295" w:type="dxa"/>
            <w:shd w:val="clear" w:color="auto" w:fill="FFFFFF" w:themeFill="background1"/>
          </w:tcPr>
          <w:p w14:paraId="554CEEDC" w14:textId="061D4FFB" w:rsidR="0044057F" w:rsidRPr="000F779A" w:rsidRDefault="0044057F" w:rsidP="0069712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457.731(a)(4)(i)</w:t>
            </w:r>
          </w:p>
        </w:tc>
        <w:tc>
          <w:tcPr>
            <w:tcW w:w="2295" w:type="dxa"/>
            <w:vMerge/>
            <w:shd w:val="clear" w:color="auto" w:fill="FFFFFF" w:themeFill="background1"/>
          </w:tcPr>
          <w:p w14:paraId="037459BF" w14:textId="77777777" w:rsidR="0044057F" w:rsidRPr="000F779A" w:rsidRDefault="0044057F" w:rsidP="00697124">
            <w:pPr>
              <w:spacing w:before="40" w:after="40"/>
              <w:jc w:val="center"/>
              <w:rPr>
                <w:rFonts w:asciiTheme="minorHAnsi" w:hAnsiTheme="minorHAnsi" w:cstheme="minorHAnsi"/>
                <w:sz w:val="22"/>
                <w:szCs w:val="22"/>
              </w:rPr>
            </w:pPr>
          </w:p>
        </w:tc>
      </w:tr>
      <w:tr w:rsidR="0044057F" w:rsidRPr="000F779A" w14:paraId="4CD5AE5D" w14:textId="77777777" w:rsidTr="00987E4A">
        <w:tc>
          <w:tcPr>
            <w:tcW w:w="2295" w:type="dxa"/>
            <w:shd w:val="clear" w:color="auto" w:fill="FFFFFF" w:themeFill="background1"/>
          </w:tcPr>
          <w:p w14:paraId="7FD15AF1" w14:textId="5101F73C" w:rsidR="0044057F" w:rsidRPr="000F779A" w:rsidRDefault="0044057F" w:rsidP="0071217D">
            <w:pPr>
              <w:spacing w:before="40" w:after="40"/>
              <w:rPr>
                <w:rFonts w:asciiTheme="minorHAnsi" w:hAnsiTheme="minorHAnsi" w:cstheme="minorHAnsi"/>
                <w:sz w:val="22"/>
                <w:szCs w:val="22"/>
              </w:rPr>
            </w:pPr>
            <w:r w:rsidRPr="000F779A">
              <w:rPr>
                <w:rFonts w:asciiTheme="minorHAnsi" w:hAnsiTheme="minorHAnsi" w:cstheme="minorHAnsi"/>
                <w:sz w:val="22"/>
                <w:szCs w:val="22"/>
              </w:rPr>
              <w:t xml:space="preserve">Patient educational resources regarding </w:t>
            </w:r>
            <w:r w:rsidRPr="000F779A">
              <w:rPr>
                <w:rFonts w:asciiTheme="minorHAnsi" w:hAnsiTheme="minorHAnsi" w:cstheme="minorHAnsi"/>
                <w:sz w:val="22"/>
                <w:szCs w:val="22"/>
              </w:rPr>
              <w:lastRenderedPageBreak/>
              <w:t>API (compliance date January 1, 2027)</w:t>
            </w:r>
          </w:p>
        </w:tc>
        <w:tc>
          <w:tcPr>
            <w:tcW w:w="2295" w:type="dxa"/>
            <w:shd w:val="clear" w:color="auto" w:fill="FFFFFF" w:themeFill="background1"/>
          </w:tcPr>
          <w:p w14:paraId="0A61A055" w14:textId="1B6DBDBE" w:rsidR="0044057F" w:rsidRPr="000F779A" w:rsidRDefault="00EC0458" w:rsidP="0071217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lastRenderedPageBreak/>
              <w:t>42 CFR 422.121(a)(4)(ii)</w:t>
            </w:r>
          </w:p>
        </w:tc>
        <w:tc>
          <w:tcPr>
            <w:tcW w:w="2295" w:type="dxa"/>
            <w:shd w:val="clear" w:color="auto" w:fill="FFFFFF" w:themeFill="background1"/>
          </w:tcPr>
          <w:p w14:paraId="1D9ADD8B" w14:textId="7DD90A00" w:rsidR="0044057F" w:rsidRPr="000F779A" w:rsidRDefault="0044057F" w:rsidP="0071217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431.61(a)(4)(ii)</w:t>
            </w:r>
          </w:p>
        </w:tc>
        <w:tc>
          <w:tcPr>
            <w:tcW w:w="2295" w:type="dxa"/>
            <w:shd w:val="clear" w:color="auto" w:fill="FFFFFF" w:themeFill="background1"/>
          </w:tcPr>
          <w:p w14:paraId="5931D910" w14:textId="32D6DF0D" w:rsidR="0044057F" w:rsidRPr="000F779A" w:rsidRDefault="0044057F" w:rsidP="0071217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 xml:space="preserve">Through cross reference to 42 CFR </w:t>
            </w:r>
            <w:r w:rsidRPr="000F779A">
              <w:rPr>
                <w:rFonts w:asciiTheme="minorHAnsi" w:hAnsiTheme="minorHAnsi" w:cstheme="minorHAnsi"/>
                <w:sz w:val="22"/>
                <w:szCs w:val="22"/>
              </w:rPr>
              <w:lastRenderedPageBreak/>
              <w:t>431.61 at 42 CFR 438.242(b)(7)</w:t>
            </w:r>
          </w:p>
        </w:tc>
        <w:tc>
          <w:tcPr>
            <w:tcW w:w="2295" w:type="dxa"/>
            <w:shd w:val="clear" w:color="auto" w:fill="FFFFFF" w:themeFill="background1"/>
          </w:tcPr>
          <w:p w14:paraId="68612429" w14:textId="2D9209F4" w:rsidR="0044057F" w:rsidRPr="000F779A" w:rsidRDefault="0044057F" w:rsidP="0071217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lastRenderedPageBreak/>
              <w:t>42 CFR 457.731(a)(4)(ii)</w:t>
            </w:r>
          </w:p>
        </w:tc>
        <w:tc>
          <w:tcPr>
            <w:tcW w:w="2295" w:type="dxa"/>
            <w:vMerge/>
            <w:shd w:val="clear" w:color="auto" w:fill="FFFFFF" w:themeFill="background1"/>
          </w:tcPr>
          <w:p w14:paraId="71B52191" w14:textId="77777777" w:rsidR="0044057F" w:rsidRPr="000F779A" w:rsidRDefault="0044057F" w:rsidP="0071217D">
            <w:pPr>
              <w:spacing w:before="40" w:after="40"/>
              <w:jc w:val="center"/>
              <w:rPr>
                <w:rFonts w:asciiTheme="minorHAnsi" w:hAnsiTheme="minorHAnsi" w:cstheme="minorHAnsi"/>
                <w:sz w:val="22"/>
                <w:szCs w:val="22"/>
              </w:rPr>
            </w:pPr>
          </w:p>
        </w:tc>
      </w:tr>
      <w:tr w:rsidR="0044057F" w:rsidRPr="000F779A" w14:paraId="0A0CF295" w14:textId="77777777" w:rsidTr="00987E4A">
        <w:tc>
          <w:tcPr>
            <w:tcW w:w="2295" w:type="dxa"/>
            <w:shd w:val="clear" w:color="auto" w:fill="FFFFFF" w:themeFill="background1"/>
          </w:tcPr>
          <w:p w14:paraId="16B2799B" w14:textId="4FB3FEE3" w:rsidR="0044057F" w:rsidRPr="000F779A" w:rsidRDefault="0044057F" w:rsidP="003C31D4">
            <w:pPr>
              <w:spacing w:before="40" w:after="40"/>
              <w:rPr>
                <w:rFonts w:asciiTheme="minorHAnsi" w:hAnsiTheme="minorHAnsi" w:cstheme="minorHAnsi"/>
                <w:sz w:val="22"/>
                <w:szCs w:val="22"/>
              </w:rPr>
            </w:pPr>
            <w:r w:rsidRPr="000F779A">
              <w:rPr>
                <w:rFonts w:asciiTheme="minorHAnsi" w:hAnsiTheme="minorHAnsi" w:cstheme="minorHAnsi"/>
                <w:sz w:val="22"/>
                <w:szCs w:val="22"/>
              </w:rPr>
              <w:t>Provider educational resources regarding API (compliance date January 1, 2027)</w:t>
            </w:r>
          </w:p>
        </w:tc>
        <w:tc>
          <w:tcPr>
            <w:tcW w:w="2295" w:type="dxa"/>
            <w:shd w:val="clear" w:color="auto" w:fill="FFFFFF" w:themeFill="background1"/>
          </w:tcPr>
          <w:p w14:paraId="03B03F56" w14:textId="7FFC5D1D" w:rsidR="0044057F" w:rsidRPr="000F779A" w:rsidRDefault="00EC0458"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422.121(a)(5)</w:t>
            </w:r>
          </w:p>
        </w:tc>
        <w:tc>
          <w:tcPr>
            <w:tcW w:w="2295" w:type="dxa"/>
            <w:shd w:val="clear" w:color="auto" w:fill="FFFFFF" w:themeFill="background1"/>
          </w:tcPr>
          <w:p w14:paraId="57EFE8A1" w14:textId="7BC30553" w:rsidR="0044057F" w:rsidRPr="000F779A" w:rsidRDefault="0044057F"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431.61(a)(5)</w:t>
            </w:r>
          </w:p>
        </w:tc>
        <w:tc>
          <w:tcPr>
            <w:tcW w:w="2295" w:type="dxa"/>
            <w:shd w:val="clear" w:color="auto" w:fill="FFFFFF" w:themeFill="background1"/>
          </w:tcPr>
          <w:p w14:paraId="29BC409B" w14:textId="73EBBB7B" w:rsidR="0044057F" w:rsidRPr="000F779A" w:rsidRDefault="0044057F"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 at 42 CFR 438.242(b)(7)</w:t>
            </w:r>
          </w:p>
        </w:tc>
        <w:tc>
          <w:tcPr>
            <w:tcW w:w="2295" w:type="dxa"/>
            <w:shd w:val="clear" w:color="auto" w:fill="FFFFFF" w:themeFill="background1"/>
          </w:tcPr>
          <w:p w14:paraId="3607452A" w14:textId="639B5BA0" w:rsidR="0044057F" w:rsidRPr="000F779A" w:rsidRDefault="0044057F"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457.731(a)(5)</w:t>
            </w:r>
          </w:p>
        </w:tc>
        <w:tc>
          <w:tcPr>
            <w:tcW w:w="2295" w:type="dxa"/>
            <w:vMerge/>
            <w:shd w:val="clear" w:color="auto" w:fill="FFFFFF" w:themeFill="background1"/>
          </w:tcPr>
          <w:p w14:paraId="4FF52157" w14:textId="77777777" w:rsidR="0044057F" w:rsidRPr="000F779A" w:rsidRDefault="0044057F" w:rsidP="003C31D4">
            <w:pPr>
              <w:spacing w:before="40" w:after="40"/>
              <w:jc w:val="center"/>
              <w:rPr>
                <w:rFonts w:asciiTheme="minorHAnsi" w:hAnsiTheme="minorHAnsi" w:cstheme="minorHAnsi"/>
                <w:sz w:val="22"/>
                <w:szCs w:val="22"/>
              </w:rPr>
            </w:pPr>
          </w:p>
        </w:tc>
      </w:tr>
      <w:tr w:rsidR="0044057F" w:rsidRPr="000F779A" w14:paraId="5EAFF8AE" w14:textId="77777777" w:rsidTr="00987E4A">
        <w:tc>
          <w:tcPr>
            <w:tcW w:w="2295" w:type="dxa"/>
            <w:shd w:val="clear" w:color="auto" w:fill="FFFFFF" w:themeFill="background1"/>
          </w:tcPr>
          <w:p w14:paraId="6A4938C1" w14:textId="3D68A806" w:rsidR="0044057F" w:rsidRPr="000F779A" w:rsidRDefault="0044057F" w:rsidP="003C31D4">
            <w:pPr>
              <w:spacing w:before="40" w:after="40"/>
              <w:rPr>
                <w:rFonts w:asciiTheme="minorHAnsi" w:hAnsiTheme="minorHAnsi" w:cstheme="minorHAnsi"/>
                <w:sz w:val="22"/>
                <w:szCs w:val="22"/>
              </w:rPr>
            </w:pPr>
            <w:r w:rsidRPr="000F779A">
              <w:rPr>
                <w:rFonts w:asciiTheme="minorHAnsi" w:hAnsiTheme="minorHAnsi" w:cstheme="minorHAnsi"/>
                <w:sz w:val="22"/>
                <w:szCs w:val="22"/>
              </w:rPr>
              <w:t>Extension for Medicaid and CHIP FFS (effective date of the final rule)</w:t>
            </w:r>
          </w:p>
        </w:tc>
        <w:tc>
          <w:tcPr>
            <w:tcW w:w="2295" w:type="dxa"/>
            <w:shd w:val="clear" w:color="auto" w:fill="FFFFFF" w:themeFill="background1"/>
          </w:tcPr>
          <w:p w14:paraId="3B6E9007" w14:textId="3665CA0F" w:rsidR="0044057F" w:rsidRPr="000F779A" w:rsidRDefault="0012738C"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295" w:type="dxa"/>
            <w:shd w:val="clear" w:color="auto" w:fill="FFFFFF" w:themeFill="background1"/>
          </w:tcPr>
          <w:p w14:paraId="16133C27" w14:textId="64A224E7" w:rsidR="0044057F" w:rsidRPr="000F779A" w:rsidRDefault="0044057F"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431.61(c)(1)</w:t>
            </w:r>
          </w:p>
        </w:tc>
        <w:tc>
          <w:tcPr>
            <w:tcW w:w="2295" w:type="dxa"/>
            <w:shd w:val="clear" w:color="auto" w:fill="FFFFFF" w:themeFill="background1"/>
          </w:tcPr>
          <w:p w14:paraId="7AF75731" w14:textId="3E8CEF4D" w:rsidR="0044057F" w:rsidRPr="000F779A" w:rsidRDefault="0044057F"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295" w:type="dxa"/>
            <w:shd w:val="clear" w:color="auto" w:fill="FFFFFF" w:themeFill="background1"/>
          </w:tcPr>
          <w:p w14:paraId="7DD8E763" w14:textId="3A6B964A" w:rsidR="0044057F" w:rsidRPr="000F779A" w:rsidRDefault="0044057F"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457.731(c)(1)</w:t>
            </w:r>
          </w:p>
        </w:tc>
        <w:tc>
          <w:tcPr>
            <w:tcW w:w="2295" w:type="dxa"/>
            <w:shd w:val="clear" w:color="auto" w:fill="FFFFFF" w:themeFill="background1"/>
          </w:tcPr>
          <w:p w14:paraId="0531B316" w14:textId="422EB849" w:rsidR="0044057F" w:rsidRPr="000F779A" w:rsidRDefault="0044057F" w:rsidP="003C31D4">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r w:rsidR="0044057F" w:rsidRPr="000F779A" w14:paraId="3D752236" w14:textId="77777777" w:rsidTr="00987E4A">
        <w:tc>
          <w:tcPr>
            <w:tcW w:w="2295" w:type="dxa"/>
            <w:shd w:val="clear" w:color="auto" w:fill="FFFFFF" w:themeFill="background1"/>
          </w:tcPr>
          <w:p w14:paraId="75B30D8B" w14:textId="1481036B" w:rsidR="0044057F" w:rsidRPr="000F779A" w:rsidRDefault="0044057F" w:rsidP="00AB59FD">
            <w:pPr>
              <w:spacing w:before="40" w:after="40"/>
              <w:rPr>
                <w:rFonts w:asciiTheme="minorHAnsi" w:hAnsiTheme="minorHAnsi" w:cstheme="minorHAnsi"/>
                <w:sz w:val="22"/>
                <w:szCs w:val="22"/>
              </w:rPr>
            </w:pPr>
            <w:r w:rsidRPr="000F779A">
              <w:rPr>
                <w:rFonts w:asciiTheme="minorHAnsi" w:hAnsiTheme="minorHAnsi" w:cstheme="minorHAnsi"/>
                <w:sz w:val="22"/>
                <w:szCs w:val="22"/>
              </w:rPr>
              <w:t>Exemption for Medicaid and CHIP FFS (effective date of the final rule)</w:t>
            </w:r>
          </w:p>
        </w:tc>
        <w:tc>
          <w:tcPr>
            <w:tcW w:w="2295" w:type="dxa"/>
            <w:shd w:val="clear" w:color="auto" w:fill="FFFFFF" w:themeFill="background1"/>
          </w:tcPr>
          <w:p w14:paraId="22DF6A1E" w14:textId="3BB16196" w:rsidR="0044057F" w:rsidRPr="000F779A" w:rsidRDefault="0012738C" w:rsidP="00AB59F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295" w:type="dxa"/>
            <w:shd w:val="clear" w:color="auto" w:fill="FFFFFF" w:themeFill="background1"/>
          </w:tcPr>
          <w:p w14:paraId="711B7365" w14:textId="616961F2" w:rsidR="0044057F" w:rsidRPr="000F779A" w:rsidRDefault="0044057F" w:rsidP="00AB59F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431.61(c)(2)</w:t>
            </w:r>
          </w:p>
        </w:tc>
        <w:tc>
          <w:tcPr>
            <w:tcW w:w="2295" w:type="dxa"/>
            <w:shd w:val="clear" w:color="auto" w:fill="FFFFFF" w:themeFill="background1"/>
          </w:tcPr>
          <w:p w14:paraId="4526EB18" w14:textId="6A565E7E" w:rsidR="0044057F" w:rsidRPr="000F779A" w:rsidRDefault="0044057F" w:rsidP="00AB59F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295" w:type="dxa"/>
            <w:shd w:val="clear" w:color="auto" w:fill="FFFFFF" w:themeFill="background1"/>
          </w:tcPr>
          <w:p w14:paraId="0115C5E0" w14:textId="09967AF3" w:rsidR="0044057F" w:rsidRPr="000F779A" w:rsidRDefault="0044057F" w:rsidP="00AB59F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457.731(c)(2)</w:t>
            </w:r>
          </w:p>
        </w:tc>
        <w:tc>
          <w:tcPr>
            <w:tcW w:w="2295" w:type="dxa"/>
            <w:shd w:val="clear" w:color="auto" w:fill="FFFFFF" w:themeFill="background1"/>
          </w:tcPr>
          <w:p w14:paraId="3B54C0CC" w14:textId="10CAFCE1" w:rsidR="0044057F" w:rsidRPr="000F779A" w:rsidRDefault="0044057F" w:rsidP="00AB59FD">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bl>
    <w:p w14:paraId="0D47D81D" w14:textId="77777777" w:rsidR="00BB1C25" w:rsidRPr="000F779A" w:rsidRDefault="00BB1C25" w:rsidP="00991F6E">
      <w:pPr>
        <w:jc w:val="center"/>
        <w:rPr>
          <w:rFonts w:asciiTheme="minorHAnsi" w:hAnsiTheme="minorHAnsi" w:cstheme="minorHAnsi"/>
          <w:b/>
          <w:bCs/>
          <w:sz w:val="22"/>
          <w:szCs w:val="22"/>
        </w:rPr>
      </w:pPr>
    </w:p>
    <w:p w14:paraId="5C3354AA" w14:textId="77777777" w:rsidR="00337FA8" w:rsidRPr="000F779A" w:rsidRDefault="00337FA8" w:rsidP="00991F6E">
      <w:pPr>
        <w:jc w:val="center"/>
        <w:rPr>
          <w:rFonts w:asciiTheme="minorHAnsi" w:hAnsiTheme="minorHAnsi" w:cstheme="minorHAnsi"/>
          <w:b/>
          <w:bCs/>
          <w:sz w:val="22"/>
          <w:szCs w:val="22"/>
        </w:rPr>
      </w:pPr>
    </w:p>
    <w:p w14:paraId="7A0C5F61" w14:textId="3446701D" w:rsidR="007E4B73" w:rsidRPr="000F779A" w:rsidRDefault="00AA2ECE" w:rsidP="00991F6E">
      <w:pPr>
        <w:jc w:val="center"/>
        <w:rPr>
          <w:rFonts w:asciiTheme="minorHAnsi" w:hAnsiTheme="minorHAnsi" w:cstheme="minorHAnsi"/>
          <w:b/>
          <w:bCs/>
          <w:sz w:val="22"/>
          <w:szCs w:val="22"/>
        </w:rPr>
      </w:pPr>
      <w:r w:rsidRPr="000F779A">
        <w:rPr>
          <w:rFonts w:asciiTheme="minorHAnsi" w:hAnsiTheme="minorHAnsi" w:cstheme="minorHAnsi"/>
          <w:b/>
          <w:bCs/>
          <w:sz w:val="22"/>
          <w:szCs w:val="22"/>
        </w:rPr>
        <w:t xml:space="preserve">Payer to Payer </w:t>
      </w:r>
      <w:r w:rsidR="00C7649C" w:rsidRPr="000F779A">
        <w:rPr>
          <w:rFonts w:asciiTheme="minorHAnsi" w:hAnsiTheme="minorHAnsi" w:cstheme="minorHAnsi"/>
          <w:b/>
          <w:bCs/>
          <w:sz w:val="22"/>
          <w:szCs w:val="22"/>
        </w:rPr>
        <w:t>Data Exchange Final Policies and Cross References</w:t>
      </w:r>
    </w:p>
    <w:p w14:paraId="367D665D" w14:textId="3BCD2477" w:rsidR="005733B8" w:rsidRPr="000F779A" w:rsidRDefault="00B53FFD" w:rsidP="00991F6E">
      <w:pPr>
        <w:jc w:val="center"/>
        <w:rPr>
          <w:rFonts w:asciiTheme="minorHAnsi" w:hAnsiTheme="minorHAnsi" w:cstheme="minorHAnsi"/>
          <w:b/>
          <w:bCs/>
          <w:sz w:val="22"/>
          <w:szCs w:val="22"/>
        </w:rPr>
      </w:pPr>
      <w:r w:rsidRPr="000F779A">
        <w:rPr>
          <w:rFonts w:asciiTheme="minorHAnsi" w:hAnsiTheme="minorHAnsi" w:cstheme="minorHAnsi"/>
          <w:b/>
          <w:bCs/>
          <w:sz w:val="22"/>
          <w:szCs w:val="22"/>
        </w:rPr>
        <w:t xml:space="preserve">(Table </w:t>
      </w:r>
      <w:r w:rsidR="00AD20AC" w:rsidRPr="000F779A">
        <w:rPr>
          <w:rFonts w:asciiTheme="minorHAnsi" w:hAnsiTheme="minorHAnsi" w:cstheme="minorHAnsi"/>
          <w:b/>
          <w:bCs/>
          <w:sz w:val="22"/>
          <w:szCs w:val="22"/>
        </w:rPr>
        <w:t xml:space="preserve">D1—Page </w:t>
      </w:r>
      <w:r w:rsidR="00FF26D9" w:rsidRPr="000F779A">
        <w:rPr>
          <w:rFonts w:asciiTheme="minorHAnsi" w:hAnsiTheme="minorHAnsi" w:cstheme="minorHAnsi"/>
          <w:b/>
          <w:bCs/>
          <w:sz w:val="22"/>
          <w:szCs w:val="22"/>
        </w:rPr>
        <w:t>8853)</w:t>
      </w:r>
    </w:p>
    <w:tbl>
      <w:tblPr>
        <w:tblStyle w:val="TableGrid"/>
        <w:tblW w:w="13860" w:type="dxa"/>
        <w:tblInd w:w="-275" w:type="dxa"/>
        <w:tblLayout w:type="fixed"/>
        <w:tblLook w:val="04A0" w:firstRow="1" w:lastRow="0" w:firstColumn="1" w:lastColumn="0" w:noHBand="0" w:noVBand="1"/>
      </w:tblPr>
      <w:tblGrid>
        <w:gridCol w:w="2250"/>
        <w:gridCol w:w="2340"/>
        <w:gridCol w:w="2160"/>
        <w:gridCol w:w="2430"/>
        <w:gridCol w:w="2160"/>
        <w:gridCol w:w="2520"/>
      </w:tblGrid>
      <w:tr w:rsidR="00B649AD" w:rsidRPr="000F779A" w14:paraId="6AB340B4" w14:textId="77777777" w:rsidTr="007E4CCB">
        <w:trPr>
          <w:tblHeader/>
        </w:trPr>
        <w:tc>
          <w:tcPr>
            <w:tcW w:w="2250" w:type="dxa"/>
            <w:shd w:val="clear" w:color="auto" w:fill="0070C0"/>
          </w:tcPr>
          <w:p w14:paraId="7CBDFE29" w14:textId="77777777" w:rsidR="00B649AD" w:rsidRPr="000F779A" w:rsidRDefault="00B649AD" w:rsidP="00BB1C25">
            <w:pPr>
              <w:spacing w:before="160" w:after="160"/>
              <w:jc w:val="center"/>
              <w:rPr>
                <w:rFonts w:asciiTheme="minorHAnsi" w:hAnsiTheme="minorHAnsi" w:cstheme="minorHAnsi"/>
                <w:b/>
                <w:bCs/>
                <w:color w:val="FFFFFF" w:themeColor="background1"/>
                <w:sz w:val="22"/>
                <w:szCs w:val="22"/>
              </w:rPr>
            </w:pPr>
            <w:bookmarkStart w:id="2" w:name="_Hlk169602191"/>
            <w:r w:rsidRPr="000F779A">
              <w:rPr>
                <w:rFonts w:asciiTheme="minorHAnsi" w:hAnsiTheme="minorHAnsi" w:cstheme="minorHAnsi"/>
                <w:b/>
                <w:bCs/>
                <w:color w:val="FFFFFF" w:themeColor="background1"/>
                <w:sz w:val="22"/>
                <w:szCs w:val="22"/>
              </w:rPr>
              <w:t>Requirement</w:t>
            </w:r>
          </w:p>
        </w:tc>
        <w:tc>
          <w:tcPr>
            <w:tcW w:w="2340" w:type="dxa"/>
            <w:shd w:val="clear" w:color="auto" w:fill="0070C0"/>
          </w:tcPr>
          <w:p w14:paraId="393D4B81" w14:textId="5C1E0C59" w:rsidR="00B649AD" w:rsidRPr="000F779A" w:rsidRDefault="00B649A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Medicare Advantage</w:t>
            </w:r>
          </w:p>
        </w:tc>
        <w:tc>
          <w:tcPr>
            <w:tcW w:w="2160" w:type="dxa"/>
            <w:shd w:val="clear" w:color="auto" w:fill="0070C0"/>
          </w:tcPr>
          <w:p w14:paraId="1FCC5A8A" w14:textId="7099040D" w:rsidR="00B649AD" w:rsidRPr="000F779A" w:rsidRDefault="00B649A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FFS</w:t>
            </w:r>
          </w:p>
        </w:tc>
        <w:tc>
          <w:tcPr>
            <w:tcW w:w="2430" w:type="dxa"/>
            <w:shd w:val="clear" w:color="auto" w:fill="0070C0"/>
          </w:tcPr>
          <w:p w14:paraId="7DBA2C7B" w14:textId="77777777" w:rsidR="00B649AD" w:rsidRPr="000F779A" w:rsidRDefault="00B649A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Managed Care</w:t>
            </w:r>
          </w:p>
        </w:tc>
        <w:tc>
          <w:tcPr>
            <w:tcW w:w="2160" w:type="dxa"/>
            <w:shd w:val="clear" w:color="auto" w:fill="0070C0"/>
          </w:tcPr>
          <w:p w14:paraId="6A496E68" w14:textId="77777777" w:rsidR="00B649AD" w:rsidRPr="000F779A" w:rsidRDefault="00B649A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FFS</w:t>
            </w:r>
          </w:p>
        </w:tc>
        <w:tc>
          <w:tcPr>
            <w:tcW w:w="2520" w:type="dxa"/>
            <w:shd w:val="clear" w:color="auto" w:fill="0070C0"/>
          </w:tcPr>
          <w:p w14:paraId="1E1D7236" w14:textId="77777777" w:rsidR="00B649AD" w:rsidRPr="000F779A" w:rsidRDefault="00B649AD" w:rsidP="00BB1C25">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Managed Care</w:t>
            </w:r>
          </w:p>
        </w:tc>
      </w:tr>
      <w:tr w:rsidR="00B649AD" w:rsidRPr="000F779A" w14:paraId="6D7F0F87" w14:textId="77777777" w:rsidTr="007E4CCB">
        <w:tc>
          <w:tcPr>
            <w:tcW w:w="2250" w:type="dxa"/>
            <w:shd w:val="clear" w:color="auto" w:fill="FFFFFF" w:themeFill="background1"/>
          </w:tcPr>
          <w:p w14:paraId="79C63758" w14:textId="41A2D680" w:rsidR="00B649AD" w:rsidRPr="000F779A" w:rsidRDefault="00B649AD" w:rsidP="008E5A08">
            <w:pPr>
              <w:spacing w:before="40" w:after="40"/>
              <w:rPr>
                <w:rFonts w:asciiTheme="minorHAnsi" w:hAnsiTheme="minorHAnsi" w:cstheme="minorHAnsi"/>
                <w:sz w:val="22"/>
                <w:szCs w:val="22"/>
              </w:rPr>
            </w:pPr>
            <w:r w:rsidRPr="000F779A">
              <w:rPr>
                <w:rFonts w:asciiTheme="minorHAnsi" w:hAnsiTheme="minorHAnsi" w:cstheme="minorHAnsi"/>
                <w:sz w:val="22"/>
                <w:szCs w:val="22"/>
              </w:rPr>
              <w:t>Technical standards (compliance date January 1, 2027)</w:t>
            </w:r>
          </w:p>
        </w:tc>
        <w:tc>
          <w:tcPr>
            <w:tcW w:w="2340" w:type="dxa"/>
            <w:shd w:val="clear" w:color="auto" w:fill="FFFFFF" w:themeFill="background1"/>
          </w:tcPr>
          <w:p w14:paraId="1694B621" w14:textId="510BD016" w:rsidR="00B649AD" w:rsidRPr="000F779A" w:rsidRDefault="00FF26D9" w:rsidP="008E5A0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w:t>
            </w:r>
            <w:r w:rsidR="002E3729" w:rsidRPr="000F779A">
              <w:rPr>
                <w:rFonts w:asciiTheme="minorHAnsi" w:hAnsiTheme="minorHAnsi" w:cstheme="minorHAnsi"/>
                <w:sz w:val="22"/>
                <w:szCs w:val="22"/>
              </w:rPr>
              <w:t>.121(b)(1)</w:t>
            </w:r>
          </w:p>
        </w:tc>
        <w:tc>
          <w:tcPr>
            <w:tcW w:w="2160" w:type="dxa"/>
            <w:shd w:val="clear" w:color="auto" w:fill="FFFFFF" w:themeFill="background1"/>
          </w:tcPr>
          <w:p w14:paraId="444611C5" w14:textId="6576B899" w:rsidR="00B649AD" w:rsidRPr="000F779A" w:rsidRDefault="00B649AD" w:rsidP="008E5A0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431.61(b)(1)</w:t>
            </w:r>
          </w:p>
        </w:tc>
        <w:tc>
          <w:tcPr>
            <w:tcW w:w="2430" w:type="dxa"/>
            <w:shd w:val="clear" w:color="auto" w:fill="FFFFFF" w:themeFill="background1"/>
          </w:tcPr>
          <w:p w14:paraId="4F24947F" w14:textId="58238B68" w:rsidR="00B649AD" w:rsidRPr="000F779A" w:rsidRDefault="00B649AD" w:rsidP="008E5A0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431.61(b)(1) at 42 CFR 438.242(b)(7)</w:t>
            </w:r>
          </w:p>
        </w:tc>
        <w:tc>
          <w:tcPr>
            <w:tcW w:w="2160" w:type="dxa"/>
            <w:shd w:val="clear" w:color="auto" w:fill="FFFFFF" w:themeFill="background1"/>
          </w:tcPr>
          <w:p w14:paraId="4961B57C" w14:textId="152896C9" w:rsidR="00B649AD" w:rsidRPr="000F779A" w:rsidRDefault="00B649AD" w:rsidP="008E5A0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457.731(b)(1)</w:t>
            </w:r>
          </w:p>
        </w:tc>
        <w:tc>
          <w:tcPr>
            <w:tcW w:w="2520" w:type="dxa"/>
            <w:shd w:val="clear" w:color="auto" w:fill="FFFFFF" w:themeFill="background1"/>
            <w:vAlign w:val="center"/>
          </w:tcPr>
          <w:p w14:paraId="447C3EB9" w14:textId="473A94CE" w:rsidR="00B649AD" w:rsidRPr="000F779A" w:rsidRDefault="00B649AD" w:rsidP="008E5A0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existing cross reference to 42 CFR 438.242 at 42 CFR 457.1233(d)</w:t>
            </w:r>
          </w:p>
        </w:tc>
      </w:tr>
      <w:bookmarkEnd w:id="2"/>
      <w:tr w:rsidR="00B649AD" w:rsidRPr="000F779A" w14:paraId="680B18AA" w14:textId="77777777" w:rsidTr="007E4CCB">
        <w:tc>
          <w:tcPr>
            <w:tcW w:w="2250" w:type="dxa"/>
            <w:shd w:val="clear" w:color="auto" w:fill="FFFFFF" w:themeFill="background1"/>
          </w:tcPr>
          <w:p w14:paraId="7E89A8F6" w14:textId="206BD8CC" w:rsidR="00B649AD" w:rsidRPr="000F779A" w:rsidRDefault="00B649AD" w:rsidP="00D0281A">
            <w:pPr>
              <w:spacing w:before="40" w:after="40"/>
              <w:rPr>
                <w:rFonts w:asciiTheme="minorHAnsi" w:hAnsiTheme="minorHAnsi" w:cstheme="minorHAnsi"/>
                <w:sz w:val="22"/>
                <w:szCs w:val="22"/>
              </w:rPr>
            </w:pPr>
            <w:r w:rsidRPr="000F779A">
              <w:rPr>
                <w:rFonts w:asciiTheme="minorHAnsi" w:hAnsiTheme="minorHAnsi" w:cstheme="minorHAnsi"/>
                <w:sz w:val="22"/>
                <w:szCs w:val="22"/>
              </w:rPr>
              <w:t>Opt in (compliance date January 1, 2027)</w:t>
            </w:r>
          </w:p>
        </w:tc>
        <w:tc>
          <w:tcPr>
            <w:tcW w:w="2340" w:type="dxa"/>
            <w:shd w:val="clear" w:color="auto" w:fill="FFFFFF" w:themeFill="background1"/>
          </w:tcPr>
          <w:p w14:paraId="77ADD2AC" w14:textId="20AECEDC" w:rsidR="00B649AD" w:rsidRPr="000F779A" w:rsidRDefault="002E3729" w:rsidP="00D0281A">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422.121(b)(2)</w:t>
            </w:r>
          </w:p>
        </w:tc>
        <w:tc>
          <w:tcPr>
            <w:tcW w:w="2160" w:type="dxa"/>
            <w:shd w:val="clear" w:color="auto" w:fill="FFFFFF" w:themeFill="background1"/>
          </w:tcPr>
          <w:p w14:paraId="0223E0EE" w14:textId="40F7A626" w:rsidR="00B649AD" w:rsidRPr="000F779A" w:rsidRDefault="00B649AD" w:rsidP="00D0281A">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431.61(b)(2)</w:t>
            </w:r>
          </w:p>
        </w:tc>
        <w:tc>
          <w:tcPr>
            <w:tcW w:w="2430" w:type="dxa"/>
            <w:shd w:val="clear" w:color="auto" w:fill="FFFFFF" w:themeFill="background1"/>
          </w:tcPr>
          <w:p w14:paraId="3578ABCE" w14:textId="44916F65" w:rsidR="00B649AD" w:rsidRPr="000F779A" w:rsidRDefault="00B649AD" w:rsidP="00D0281A">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60" w:type="dxa"/>
            <w:shd w:val="clear" w:color="auto" w:fill="FFFFFF" w:themeFill="background1"/>
          </w:tcPr>
          <w:p w14:paraId="7163D128" w14:textId="1DC2E0BA" w:rsidR="00B649AD" w:rsidRPr="000F779A" w:rsidRDefault="00B649AD" w:rsidP="00D0281A">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457.731(b)(2)</w:t>
            </w:r>
          </w:p>
        </w:tc>
        <w:tc>
          <w:tcPr>
            <w:tcW w:w="2520" w:type="dxa"/>
            <w:shd w:val="clear" w:color="auto" w:fill="FFFFFF" w:themeFill="background1"/>
          </w:tcPr>
          <w:p w14:paraId="1D5BDBC7" w14:textId="0D0848F8" w:rsidR="00B649AD" w:rsidRPr="000F779A" w:rsidRDefault="00B649AD" w:rsidP="002309D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r w:rsidR="00B649AD" w:rsidRPr="000F779A" w14:paraId="64951136" w14:textId="77777777" w:rsidTr="007E4CCB">
        <w:tc>
          <w:tcPr>
            <w:tcW w:w="2250" w:type="dxa"/>
            <w:shd w:val="clear" w:color="auto" w:fill="FFFFFF" w:themeFill="background1"/>
          </w:tcPr>
          <w:p w14:paraId="1C582785" w14:textId="264B7AF8" w:rsidR="00B649AD" w:rsidRPr="000F779A" w:rsidRDefault="00B649AD" w:rsidP="00D73458">
            <w:pPr>
              <w:spacing w:before="40" w:after="40"/>
              <w:rPr>
                <w:rFonts w:asciiTheme="minorHAnsi" w:hAnsiTheme="minorHAnsi" w:cstheme="minorHAnsi"/>
                <w:sz w:val="22"/>
                <w:szCs w:val="22"/>
              </w:rPr>
            </w:pPr>
            <w:r w:rsidRPr="000F779A">
              <w:rPr>
                <w:rFonts w:asciiTheme="minorHAnsi" w:hAnsiTheme="minorHAnsi" w:cstheme="minorHAnsi"/>
                <w:sz w:val="22"/>
                <w:szCs w:val="22"/>
              </w:rPr>
              <w:lastRenderedPageBreak/>
              <w:t>Identify previous and concurrent payers (compliance date January 1, 2027)</w:t>
            </w:r>
          </w:p>
        </w:tc>
        <w:tc>
          <w:tcPr>
            <w:tcW w:w="2340" w:type="dxa"/>
            <w:shd w:val="clear" w:color="auto" w:fill="FFFFFF" w:themeFill="background1"/>
          </w:tcPr>
          <w:p w14:paraId="4CCC8DFA" w14:textId="66B3DC5D" w:rsidR="00B649AD" w:rsidRPr="000F779A" w:rsidRDefault="009B3CFC" w:rsidP="00D7345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422.121(b)(3)</w:t>
            </w:r>
          </w:p>
        </w:tc>
        <w:tc>
          <w:tcPr>
            <w:tcW w:w="2160" w:type="dxa"/>
            <w:shd w:val="clear" w:color="auto" w:fill="FFFFFF" w:themeFill="background1"/>
          </w:tcPr>
          <w:p w14:paraId="7CF0CC90" w14:textId="6AE420D5" w:rsidR="00B649AD" w:rsidRPr="000F779A" w:rsidRDefault="00B649AD" w:rsidP="00D7345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431.61(b)(3)</w:t>
            </w:r>
          </w:p>
        </w:tc>
        <w:tc>
          <w:tcPr>
            <w:tcW w:w="2430" w:type="dxa"/>
            <w:shd w:val="clear" w:color="auto" w:fill="FFFFFF" w:themeFill="background1"/>
          </w:tcPr>
          <w:p w14:paraId="3CE4B9CE" w14:textId="260FB392" w:rsidR="00B649AD" w:rsidRPr="000F779A" w:rsidRDefault="00B649AD" w:rsidP="00D7345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60" w:type="dxa"/>
            <w:shd w:val="clear" w:color="auto" w:fill="FFFFFF" w:themeFill="background1"/>
          </w:tcPr>
          <w:p w14:paraId="2DB8F9AA" w14:textId="01F0A73B" w:rsidR="00B649AD" w:rsidRPr="000F779A" w:rsidRDefault="00B649AD" w:rsidP="00D7345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457.731(b)(3)</w:t>
            </w:r>
          </w:p>
        </w:tc>
        <w:tc>
          <w:tcPr>
            <w:tcW w:w="2520" w:type="dxa"/>
            <w:shd w:val="clear" w:color="auto" w:fill="FFFFFF" w:themeFill="background1"/>
          </w:tcPr>
          <w:p w14:paraId="2C4EC2D4" w14:textId="6CDA130B" w:rsidR="00B649AD" w:rsidRPr="000F779A" w:rsidRDefault="00B649AD" w:rsidP="002309D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r w:rsidR="00B649AD" w:rsidRPr="000F779A" w14:paraId="525015A4" w14:textId="77777777" w:rsidTr="007E4CCB">
        <w:tc>
          <w:tcPr>
            <w:tcW w:w="2250" w:type="dxa"/>
            <w:shd w:val="clear" w:color="auto" w:fill="FFFFFF" w:themeFill="background1"/>
          </w:tcPr>
          <w:p w14:paraId="0616D5E2" w14:textId="371D1AC7" w:rsidR="00B649AD" w:rsidRPr="000F779A" w:rsidRDefault="00B649AD" w:rsidP="007409E0">
            <w:pPr>
              <w:spacing w:before="40" w:after="40"/>
              <w:rPr>
                <w:rFonts w:asciiTheme="minorHAnsi" w:hAnsiTheme="minorHAnsi" w:cstheme="minorHAnsi"/>
                <w:sz w:val="22"/>
                <w:szCs w:val="22"/>
              </w:rPr>
            </w:pPr>
            <w:r w:rsidRPr="000F779A">
              <w:rPr>
                <w:rFonts w:asciiTheme="minorHAnsi" w:hAnsiTheme="minorHAnsi" w:cstheme="minorHAnsi"/>
                <w:sz w:val="22"/>
                <w:szCs w:val="22"/>
              </w:rPr>
              <w:t>Data exchange requirement (compliance date January 1, 2027)</w:t>
            </w:r>
          </w:p>
        </w:tc>
        <w:tc>
          <w:tcPr>
            <w:tcW w:w="2340" w:type="dxa"/>
            <w:shd w:val="clear" w:color="auto" w:fill="FFFFFF" w:themeFill="background1"/>
          </w:tcPr>
          <w:p w14:paraId="2C02726E" w14:textId="480CFDBC" w:rsidR="00B649AD" w:rsidRPr="000F779A" w:rsidRDefault="009B3CFC" w:rsidP="007409E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 xml:space="preserve">42 CFR 422.121(b)(4) and </w:t>
            </w:r>
            <w:r w:rsidR="00EB296A" w:rsidRPr="000F779A">
              <w:rPr>
                <w:rFonts w:asciiTheme="minorHAnsi" w:hAnsiTheme="minorHAnsi" w:cstheme="minorHAnsi"/>
                <w:sz w:val="22"/>
                <w:szCs w:val="22"/>
              </w:rPr>
              <w:t>(5)</w:t>
            </w:r>
          </w:p>
        </w:tc>
        <w:tc>
          <w:tcPr>
            <w:tcW w:w="2160" w:type="dxa"/>
            <w:shd w:val="clear" w:color="auto" w:fill="FFFFFF" w:themeFill="background1"/>
          </w:tcPr>
          <w:p w14:paraId="3517E637" w14:textId="02D7CDE5" w:rsidR="00B649AD" w:rsidRPr="000F779A" w:rsidRDefault="00B649AD" w:rsidP="007409E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431.61(b)(4) and (5)</w:t>
            </w:r>
          </w:p>
        </w:tc>
        <w:tc>
          <w:tcPr>
            <w:tcW w:w="2430" w:type="dxa"/>
            <w:shd w:val="clear" w:color="auto" w:fill="FFFFFF" w:themeFill="background1"/>
          </w:tcPr>
          <w:p w14:paraId="70E79EC6" w14:textId="07C15710" w:rsidR="00B649AD" w:rsidRPr="000F779A" w:rsidRDefault="00B649AD" w:rsidP="007409E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431.61(b)(4) and (5) at 42 CFR 438.242(b)(7)</w:t>
            </w:r>
          </w:p>
        </w:tc>
        <w:tc>
          <w:tcPr>
            <w:tcW w:w="2160" w:type="dxa"/>
            <w:shd w:val="clear" w:color="auto" w:fill="FFFFFF" w:themeFill="background1"/>
          </w:tcPr>
          <w:p w14:paraId="00C3071F" w14:textId="0E19DF68" w:rsidR="00B649AD" w:rsidRPr="000F779A" w:rsidRDefault="00B649AD" w:rsidP="007409E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457.731(b)(4) and (5)</w:t>
            </w:r>
          </w:p>
        </w:tc>
        <w:tc>
          <w:tcPr>
            <w:tcW w:w="2520" w:type="dxa"/>
            <w:vMerge w:val="restart"/>
            <w:shd w:val="clear" w:color="auto" w:fill="FFFFFF" w:themeFill="background1"/>
            <w:vAlign w:val="center"/>
          </w:tcPr>
          <w:p w14:paraId="54F4E709" w14:textId="4F44F64B" w:rsidR="00B649AD" w:rsidRPr="000F779A" w:rsidRDefault="00B649AD" w:rsidP="007409E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existing cross reference to 42 CFR 438.242 at 42 CFR 457.1233(d)</w:t>
            </w:r>
          </w:p>
        </w:tc>
      </w:tr>
      <w:tr w:rsidR="00B649AD" w:rsidRPr="000F779A" w14:paraId="636565DA" w14:textId="77777777" w:rsidTr="007E4CCB">
        <w:tc>
          <w:tcPr>
            <w:tcW w:w="2250" w:type="dxa"/>
            <w:shd w:val="clear" w:color="auto" w:fill="FFFFFF" w:themeFill="background1"/>
          </w:tcPr>
          <w:p w14:paraId="339DE436" w14:textId="73433CC4" w:rsidR="00B649AD" w:rsidRPr="000F779A" w:rsidRDefault="00B649AD" w:rsidP="00E22DD7">
            <w:pPr>
              <w:spacing w:before="40" w:after="40"/>
              <w:rPr>
                <w:rFonts w:asciiTheme="minorHAnsi" w:hAnsiTheme="minorHAnsi" w:cstheme="minorHAnsi"/>
                <w:sz w:val="22"/>
                <w:szCs w:val="22"/>
              </w:rPr>
            </w:pPr>
            <w:r w:rsidRPr="000F779A">
              <w:rPr>
                <w:rFonts w:asciiTheme="minorHAnsi" w:hAnsiTheme="minorHAnsi" w:cstheme="minorHAnsi"/>
                <w:sz w:val="22"/>
                <w:szCs w:val="22"/>
              </w:rPr>
              <w:t>Accessible content and API requirements (compliance date January 1, 2027)</w:t>
            </w:r>
          </w:p>
        </w:tc>
        <w:tc>
          <w:tcPr>
            <w:tcW w:w="2340" w:type="dxa"/>
            <w:shd w:val="clear" w:color="auto" w:fill="FFFFFF" w:themeFill="background1"/>
          </w:tcPr>
          <w:p w14:paraId="7E053F20" w14:textId="6AAB91F6" w:rsidR="00B649AD" w:rsidRPr="000F779A" w:rsidRDefault="00EB296A" w:rsidP="00E22DD7">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422.121(b)(4)(ii)</w:t>
            </w:r>
          </w:p>
        </w:tc>
        <w:tc>
          <w:tcPr>
            <w:tcW w:w="2160" w:type="dxa"/>
            <w:shd w:val="clear" w:color="auto" w:fill="FFFFFF" w:themeFill="background1"/>
          </w:tcPr>
          <w:p w14:paraId="4B48CD19" w14:textId="5113C1F9" w:rsidR="00B649AD" w:rsidRPr="000F779A" w:rsidRDefault="00B649AD" w:rsidP="00E22DD7">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431.61(b)(4)(ii)</w:t>
            </w:r>
          </w:p>
        </w:tc>
        <w:tc>
          <w:tcPr>
            <w:tcW w:w="2430" w:type="dxa"/>
            <w:shd w:val="clear" w:color="auto" w:fill="FFFFFF" w:themeFill="background1"/>
          </w:tcPr>
          <w:p w14:paraId="42F11DFC" w14:textId="28FF5915" w:rsidR="00B649AD" w:rsidRPr="000F779A" w:rsidRDefault="00B649AD" w:rsidP="00E22DD7">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431.61(b)(4)(ii) at 42 CFR 438.242(b)(7)</w:t>
            </w:r>
          </w:p>
        </w:tc>
        <w:tc>
          <w:tcPr>
            <w:tcW w:w="2160" w:type="dxa"/>
            <w:shd w:val="clear" w:color="auto" w:fill="FFFFFF" w:themeFill="background1"/>
          </w:tcPr>
          <w:p w14:paraId="37182796" w14:textId="1C0FEA04" w:rsidR="00B649AD" w:rsidRPr="000F779A" w:rsidRDefault="00B649AD" w:rsidP="00E22DD7">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457.731(b)(4)(ii)</w:t>
            </w:r>
          </w:p>
        </w:tc>
        <w:tc>
          <w:tcPr>
            <w:tcW w:w="2520" w:type="dxa"/>
            <w:vMerge/>
            <w:shd w:val="clear" w:color="auto" w:fill="FFFFFF" w:themeFill="background1"/>
            <w:vAlign w:val="center"/>
          </w:tcPr>
          <w:p w14:paraId="34B37392" w14:textId="77777777" w:rsidR="00B649AD" w:rsidRPr="000F779A" w:rsidRDefault="00B649AD" w:rsidP="00E22DD7">
            <w:pPr>
              <w:spacing w:before="40" w:after="40"/>
              <w:jc w:val="center"/>
              <w:rPr>
                <w:rFonts w:asciiTheme="minorHAnsi" w:hAnsiTheme="minorHAnsi" w:cstheme="minorHAnsi"/>
                <w:sz w:val="22"/>
                <w:szCs w:val="22"/>
              </w:rPr>
            </w:pPr>
          </w:p>
        </w:tc>
      </w:tr>
      <w:tr w:rsidR="00B649AD" w:rsidRPr="000F779A" w14:paraId="704E5EA1" w14:textId="77777777" w:rsidTr="007E4CCB">
        <w:tc>
          <w:tcPr>
            <w:tcW w:w="2250" w:type="dxa"/>
            <w:shd w:val="clear" w:color="auto" w:fill="FFFFFF" w:themeFill="background1"/>
          </w:tcPr>
          <w:p w14:paraId="534A45BF" w14:textId="2B96FC2F" w:rsidR="00B649AD" w:rsidRPr="000F779A" w:rsidRDefault="00B649AD" w:rsidP="004D46AF">
            <w:pPr>
              <w:spacing w:before="40" w:after="40"/>
              <w:rPr>
                <w:rFonts w:asciiTheme="minorHAnsi" w:hAnsiTheme="minorHAnsi" w:cstheme="minorHAnsi"/>
                <w:sz w:val="22"/>
                <w:szCs w:val="22"/>
              </w:rPr>
            </w:pPr>
            <w:r w:rsidRPr="000F779A">
              <w:rPr>
                <w:rFonts w:asciiTheme="minorHAnsi" w:hAnsiTheme="minorHAnsi" w:cstheme="minorHAnsi"/>
                <w:sz w:val="22"/>
                <w:szCs w:val="22"/>
              </w:rPr>
              <w:t>Data Incorporation (compliance date January 1, 2027)</w:t>
            </w:r>
          </w:p>
        </w:tc>
        <w:tc>
          <w:tcPr>
            <w:tcW w:w="2340" w:type="dxa"/>
            <w:shd w:val="clear" w:color="auto" w:fill="FFFFFF" w:themeFill="background1"/>
          </w:tcPr>
          <w:p w14:paraId="6D9DCE6A" w14:textId="5E16147B" w:rsidR="00B649AD" w:rsidRPr="000F779A" w:rsidRDefault="00EB296A" w:rsidP="004D46A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422.121(b)(4)(v)</w:t>
            </w:r>
          </w:p>
        </w:tc>
        <w:tc>
          <w:tcPr>
            <w:tcW w:w="2160" w:type="dxa"/>
            <w:shd w:val="clear" w:color="auto" w:fill="FFFFFF" w:themeFill="background1"/>
          </w:tcPr>
          <w:p w14:paraId="63629F0E" w14:textId="5823B9DA" w:rsidR="00B649AD" w:rsidRPr="000F779A" w:rsidRDefault="00B649AD" w:rsidP="004D46A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431.61(b)(4)(v)</w:t>
            </w:r>
          </w:p>
        </w:tc>
        <w:tc>
          <w:tcPr>
            <w:tcW w:w="2430" w:type="dxa"/>
            <w:shd w:val="clear" w:color="auto" w:fill="FFFFFF" w:themeFill="background1"/>
          </w:tcPr>
          <w:p w14:paraId="597CC0CA" w14:textId="7D3B5396" w:rsidR="00B649AD" w:rsidRPr="000F779A" w:rsidRDefault="00B649AD" w:rsidP="004D46A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431.61(b)(4)(v) at 42 CFR 438.242(b)(7)</w:t>
            </w:r>
          </w:p>
        </w:tc>
        <w:tc>
          <w:tcPr>
            <w:tcW w:w="2160" w:type="dxa"/>
            <w:shd w:val="clear" w:color="auto" w:fill="FFFFFF" w:themeFill="background1"/>
          </w:tcPr>
          <w:p w14:paraId="21FCE405" w14:textId="6CB7A2A0" w:rsidR="00B649AD" w:rsidRPr="000F779A" w:rsidRDefault="00B649AD" w:rsidP="004D46A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457.731(b)(4)(v)</w:t>
            </w:r>
          </w:p>
        </w:tc>
        <w:tc>
          <w:tcPr>
            <w:tcW w:w="2520" w:type="dxa"/>
            <w:vMerge/>
            <w:shd w:val="clear" w:color="auto" w:fill="FFFFFF" w:themeFill="background1"/>
            <w:vAlign w:val="center"/>
          </w:tcPr>
          <w:p w14:paraId="7DC45719" w14:textId="77777777" w:rsidR="00B649AD" w:rsidRPr="000F779A" w:rsidRDefault="00B649AD" w:rsidP="004D46AF">
            <w:pPr>
              <w:spacing w:before="40" w:after="40"/>
              <w:jc w:val="center"/>
              <w:rPr>
                <w:rFonts w:asciiTheme="minorHAnsi" w:hAnsiTheme="minorHAnsi" w:cstheme="minorHAnsi"/>
                <w:sz w:val="22"/>
                <w:szCs w:val="22"/>
              </w:rPr>
            </w:pPr>
          </w:p>
        </w:tc>
      </w:tr>
      <w:tr w:rsidR="00B649AD" w:rsidRPr="000F779A" w14:paraId="57E0CCC9" w14:textId="77777777" w:rsidTr="007E4CCB">
        <w:tc>
          <w:tcPr>
            <w:tcW w:w="2250" w:type="dxa"/>
            <w:shd w:val="clear" w:color="auto" w:fill="FFFFFF" w:themeFill="background1"/>
          </w:tcPr>
          <w:p w14:paraId="127CCC9D" w14:textId="186CAE9E" w:rsidR="00B649AD" w:rsidRPr="000F779A" w:rsidRDefault="00B649AD" w:rsidP="004363B6">
            <w:pPr>
              <w:spacing w:before="40" w:after="40"/>
              <w:rPr>
                <w:rFonts w:asciiTheme="minorHAnsi" w:hAnsiTheme="minorHAnsi" w:cstheme="minorHAnsi"/>
                <w:sz w:val="22"/>
                <w:szCs w:val="22"/>
              </w:rPr>
            </w:pPr>
            <w:r w:rsidRPr="000F779A">
              <w:rPr>
                <w:rFonts w:asciiTheme="minorHAnsi" w:hAnsiTheme="minorHAnsi" w:cstheme="minorHAnsi"/>
                <w:sz w:val="22"/>
                <w:szCs w:val="22"/>
              </w:rPr>
              <w:t>Concurrent coverage data exchange requirements (compliance date January 1, 2027)</w:t>
            </w:r>
          </w:p>
        </w:tc>
        <w:tc>
          <w:tcPr>
            <w:tcW w:w="2340" w:type="dxa"/>
            <w:shd w:val="clear" w:color="auto" w:fill="FFFFFF" w:themeFill="background1"/>
          </w:tcPr>
          <w:p w14:paraId="19047759" w14:textId="0FE1E8DE" w:rsidR="00B649AD" w:rsidRPr="000F779A" w:rsidRDefault="00EB296A" w:rsidP="004363B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422.121(b)(6)</w:t>
            </w:r>
          </w:p>
        </w:tc>
        <w:tc>
          <w:tcPr>
            <w:tcW w:w="2160" w:type="dxa"/>
            <w:shd w:val="clear" w:color="auto" w:fill="FFFFFF" w:themeFill="background1"/>
          </w:tcPr>
          <w:p w14:paraId="58C24CFE" w14:textId="761EDCAB" w:rsidR="00B649AD" w:rsidRPr="000F779A" w:rsidRDefault="00B649AD" w:rsidP="004363B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431.61(b)(6)</w:t>
            </w:r>
          </w:p>
        </w:tc>
        <w:tc>
          <w:tcPr>
            <w:tcW w:w="2430" w:type="dxa"/>
            <w:shd w:val="clear" w:color="auto" w:fill="FFFFFF" w:themeFill="background1"/>
          </w:tcPr>
          <w:p w14:paraId="3110A1B0" w14:textId="5295FD12" w:rsidR="00B649AD" w:rsidRPr="000F779A" w:rsidRDefault="00B649AD" w:rsidP="004363B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431.61(b)(6) at 42 CFR 438.242(b)(7)</w:t>
            </w:r>
          </w:p>
        </w:tc>
        <w:tc>
          <w:tcPr>
            <w:tcW w:w="2160" w:type="dxa"/>
            <w:shd w:val="clear" w:color="auto" w:fill="FFFFFF" w:themeFill="background1"/>
          </w:tcPr>
          <w:p w14:paraId="6617A89D" w14:textId="3EB944E9" w:rsidR="00B649AD" w:rsidRPr="000F779A" w:rsidRDefault="00B649AD" w:rsidP="004363B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457.731(b)(6)</w:t>
            </w:r>
          </w:p>
        </w:tc>
        <w:tc>
          <w:tcPr>
            <w:tcW w:w="2520" w:type="dxa"/>
            <w:vMerge/>
            <w:shd w:val="clear" w:color="auto" w:fill="FFFFFF" w:themeFill="background1"/>
            <w:vAlign w:val="center"/>
          </w:tcPr>
          <w:p w14:paraId="34AC7A69" w14:textId="77777777" w:rsidR="00B649AD" w:rsidRPr="000F779A" w:rsidRDefault="00B649AD" w:rsidP="004363B6">
            <w:pPr>
              <w:spacing w:before="40" w:after="40"/>
              <w:jc w:val="center"/>
              <w:rPr>
                <w:rFonts w:asciiTheme="minorHAnsi" w:hAnsiTheme="minorHAnsi" w:cstheme="minorHAnsi"/>
                <w:sz w:val="22"/>
                <w:szCs w:val="22"/>
              </w:rPr>
            </w:pPr>
          </w:p>
        </w:tc>
      </w:tr>
      <w:tr w:rsidR="00B649AD" w:rsidRPr="000F779A" w14:paraId="5CBF409A" w14:textId="77777777" w:rsidTr="007E4CCB">
        <w:tc>
          <w:tcPr>
            <w:tcW w:w="2250" w:type="dxa"/>
            <w:shd w:val="clear" w:color="auto" w:fill="FFFFFF" w:themeFill="background1"/>
          </w:tcPr>
          <w:p w14:paraId="4CC5F7C9" w14:textId="1A899460" w:rsidR="00B649AD" w:rsidRPr="000F779A" w:rsidRDefault="00B649AD" w:rsidP="00B57168">
            <w:pPr>
              <w:spacing w:before="40" w:after="40"/>
              <w:rPr>
                <w:rFonts w:asciiTheme="minorHAnsi" w:hAnsiTheme="minorHAnsi" w:cstheme="minorHAnsi"/>
                <w:sz w:val="22"/>
                <w:szCs w:val="22"/>
              </w:rPr>
            </w:pPr>
            <w:r w:rsidRPr="000F779A">
              <w:rPr>
                <w:rFonts w:asciiTheme="minorHAnsi" w:hAnsiTheme="minorHAnsi" w:cstheme="minorHAnsi"/>
                <w:sz w:val="22"/>
                <w:szCs w:val="22"/>
              </w:rPr>
              <w:t>Patient educational resources regarding API (compliance date January 1, 2027)</w:t>
            </w:r>
          </w:p>
        </w:tc>
        <w:tc>
          <w:tcPr>
            <w:tcW w:w="2340" w:type="dxa"/>
            <w:shd w:val="clear" w:color="auto" w:fill="FFFFFF" w:themeFill="background1"/>
          </w:tcPr>
          <w:p w14:paraId="20C10459" w14:textId="75E4E414" w:rsidR="00B649AD" w:rsidRPr="000F779A" w:rsidRDefault="00170944" w:rsidP="00B5716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422.121(b)(7)</w:t>
            </w:r>
          </w:p>
        </w:tc>
        <w:tc>
          <w:tcPr>
            <w:tcW w:w="2160" w:type="dxa"/>
            <w:shd w:val="clear" w:color="auto" w:fill="FFFFFF" w:themeFill="background1"/>
          </w:tcPr>
          <w:p w14:paraId="61BFC5FD" w14:textId="401C8256" w:rsidR="00B649AD" w:rsidRPr="000F779A" w:rsidRDefault="00B649AD" w:rsidP="00B5716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431.61(b)(7)</w:t>
            </w:r>
          </w:p>
        </w:tc>
        <w:tc>
          <w:tcPr>
            <w:tcW w:w="2430" w:type="dxa"/>
            <w:shd w:val="clear" w:color="auto" w:fill="FFFFFF" w:themeFill="background1"/>
          </w:tcPr>
          <w:p w14:paraId="151B714D" w14:textId="3A4315AF" w:rsidR="00B649AD" w:rsidRPr="000F779A" w:rsidRDefault="00B649AD" w:rsidP="00B5716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431.61(b)(7) at 42 CFR 438.242(b)(7)</w:t>
            </w:r>
          </w:p>
        </w:tc>
        <w:tc>
          <w:tcPr>
            <w:tcW w:w="2160" w:type="dxa"/>
            <w:shd w:val="clear" w:color="auto" w:fill="FFFFFF" w:themeFill="background1"/>
          </w:tcPr>
          <w:p w14:paraId="58D64A26" w14:textId="166E9893" w:rsidR="00B649AD" w:rsidRPr="000F779A" w:rsidRDefault="00B649AD" w:rsidP="00B5716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457.731(b)(7)</w:t>
            </w:r>
          </w:p>
        </w:tc>
        <w:tc>
          <w:tcPr>
            <w:tcW w:w="2520" w:type="dxa"/>
            <w:shd w:val="clear" w:color="auto" w:fill="FFFFFF" w:themeFill="background1"/>
            <w:vAlign w:val="center"/>
          </w:tcPr>
          <w:p w14:paraId="2FE76FF8" w14:textId="372EE211" w:rsidR="00B649AD" w:rsidRPr="000F779A" w:rsidRDefault="00B649AD" w:rsidP="00B57168">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existing cross reference to 42 CFR 438.242 at 42 CFR 457.1233(d)</w:t>
            </w:r>
          </w:p>
        </w:tc>
      </w:tr>
      <w:tr w:rsidR="00B649AD" w:rsidRPr="000F779A" w14:paraId="376A1F5A" w14:textId="77777777" w:rsidTr="007E4CCB">
        <w:tc>
          <w:tcPr>
            <w:tcW w:w="2250" w:type="dxa"/>
            <w:shd w:val="clear" w:color="auto" w:fill="FFFFFF" w:themeFill="background1"/>
          </w:tcPr>
          <w:p w14:paraId="09280790" w14:textId="0BBEB143" w:rsidR="00B649AD" w:rsidRPr="000F779A" w:rsidRDefault="00B649AD" w:rsidP="00294B20">
            <w:pPr>
              <w:spacing w:before="40" w:after="40"/>
              <w:rPr>
                <w:rFonts w:asciiTheme="minorHAnsi" w:hAnsiTheme="minorHAnsi" w:cstheme="minorHAnsi"/>
                <w:sz w:val="22"/>
                <w:szCs w:val="22"/>
              </w:rPr>
            </w:pPr>
            <w:r w:rsidRPr="000F779A">
              <w:rPr>
                <w:rFonts w:asciiTheme="minorHAnsi" w:hAnsiTheme="minorHAnsi" w:cstheme="minorHAnsi"/>
                <w:sz w:val="22"/>
                <w:szCs w:val="22"/>
              </w:rPr>
              <w:t xml:space="preserve">Extension for Medicaid and CHIP </w:t>
            </w:r>
            <w:r w:rsidRPr="000F779A">
              <w:rPr>
                <w:rFonts w:asciiTheme="minorHAnsi" w:hAnsiTheme="minorHAnsi" w:cstheme="minorHAnsi"/>
                <w:sz w:val="22"/>
                <w:szCs w:val="22"/>
              </w:rPr>
              <w:lastRenderedPageBreak/>
              <w:t>FFS (effective date of the final rule</w:t>
            </w:r>
          </w:p>
        </w:tc>
        <w:tc>
          <w:tcPr>
            <w:tcW w:w="2340" w:type="dxa"/>
            <w:shd w:val="clear" w:color="auto" w:fill="FFFFFF" w:themeFill="background1"/>
          </w:tcPr>
          <w:p w14:paraId="7B9C6227" w14:textId="0831AE4A" w:rsidR="00B649AD" w:rsidRPr="000F779A" w:rsidRDefault="00196C33"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lastRenderedPageBreak/>
              <w:t>NA</w:t>
            </w:r>
          </w:p>
        </w:tc>
        <w:tc>
          <w:tcPr>
            <w:tcW w:w="2160" w:type="dxa"/>
            <w:shd w:val="clear" w:color="auto" w:fill="FFFFFF" w:themeFill="background1"/>
          </w:tcPr>
          <w:p w14:paraId="5FB6C4ED" w14:textId="250CEAE7" w:rsidR="00B649AD" w:rsidRPr="000F779A" w:rsidRDefault="00B649AD"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431.61(c)(1)</w:t>
            </w:r>
          </w:p>
        </w:tc>
        <w:tc>
          <w:tcPr>
            <w:tcW w:w="2430" w:type="dxa"/>
            <w:shd w:val="clear" w:color="auto" w:fill="FFFFFF" w:themeFill="background1"/>
          </w:tcPr>
          <w:p w14:paraId="01AD98FC" w14:textId="0A4F3279" w:rsidR="00B649AD" w:rsidRPr="000F779A" w:rsidRDefault="00B649AD"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60" w:type="dxa"/>
            <w:shd w:val="clear" w:color="auto" w:fill="FFFFFF" w:themeFill="background1"/>
          </w:tcPr>
          <w:p w14:paraId="7BD2A9B3" w14:textId="45A5E57D" w:rsidR="00B649AD" w:rsidRPr="000F779A" w:rsidRDefault="00B649AD"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457.731(c)(1)</w:t>
            </w:r>
          </w:p>
        </w:tc>
        <w:tc>
          <w:tcPr>
            <w:tcW w:w="2520" w:type="dxa"/>
            <w:shd w:val="clear" w:color="auto" w:fill="FFFFFF" w:themeFill="background1"/>
          </w:tcPr>
          <w:p w14:paraId="5BC53409" w14:textId="6BC31476" w:rsidR="00B649AD" w:rsidRPr="000F779A" w:rsidRDefault="00B649AD" w:rsidP="002309D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r w:rsidR="00B649AD" w:rsidRPr="000F779A" w14:paraId="39B8A977" w14:textId="77777777" w:rsidTr="007E4CCB">
        <w:tc>
          <w:tcPr>
            <w:tcW w:w="2250" w:type="dxa"/>
            <w:shd w:val="clear" w:color="auto" w:fill="FFFFFF" w:themeFill="background1"/>
          </w:tcPr>
          <w:p w14:paraId="7FB8EB3F" w14:textId="76B019CB" w:rsidR="00B649AD" w:rsidRPr="000F779A" w:rsidRDefault="00B649AD" w:rsidP="00294B20">
            <w:pPr>
              <w:spacing w:before="40" w:after="40"/>
              <w:rPr>
                <w:rFonts w:asciiTheme="minorHAnsi" w:hAnsiTheme="minorHAnsi" w:cstheme="minorHAnsi"/>
                <w:sz w:val="22"/>
                <w:szCs w:val="22"/>
              </w:rPr>
            </w:pPr>
            <w:r w:rsidRPr="000F779A">
              <w:rPr>
                <w:rFonts w:asciiTheme="minorHAnsi" w:hAnsiTheme="minorHAnsi" w:cstheme="minorHAnsi"/>
                <w:sz w:val="22"/>
                <w:szCs w:val="22"/>
              </w:rPr>
              <w:t>Exemption for Medicaid and CHIP FFS (effective date of the final rule.</w:t>
            </w:r>
          </w:p>
        </w:tc>
        <w:tc>
          <w:tcPr>
            <w:tcW w:w="2340" w:type="dxa"/>
            <w:shd w:val="clear" w:color="auto" w:fill="FFFFFF" w:themeFill="background1"/>
          </w:tcPr>
          <w:p w14:paraId="0FAE2CBE" w14:textId="425BC7EB" w:rsidR="00B649AD" w:rsidRPr="000F779A" w:rsidRDefault="007E4CCB"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60" w:type="dxa"/>
            <w:shd w:val="clear" w:color="auto" w:fill="FFFFFF" w:themeFill="background1"/>
          </w:tcPr>
          <w:p w14:paraId="7425BB8E" w14:textId="635D5C63" w:rsidR="00B649AD" w:rsidRPr="000F779A" w:rsidRDefault="00B649AD"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431.61(c)(2)</w:t>
            </w:r>
          </w:p>
        </w:tc>
        <w:tc>
          <w:tcPr>
            <w:tcW w:w="2430" w:type="dxa"/>
            <w:shd w:val="clear" w:color="auto" w:fill="FFFFFF" w:themeFill="background1"/>
          </w:tcPr>
          <w:p w14:paraId="66993789" w14:textId="6DC9DBAC" w:rsidR="00B649AD" w:rsidRPr="000F779A" w:rsidRDefault="00B649AD"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60" w:type="dxa"/>
            <w:shd w:val="clear" w:color="auto" w:fill="FFFFFF" w:themeFill="background1"/>
          </w:tcPr>
          <w:p w14:paraId="1EF473D7" w14:textId="7A1631A4" w:rsidR="00B649AD" w:rsidRPr="000F779A" w:rsidRDefault="00B649AD" w:rsidP="00294B20">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457.731(c)(2)</w:t>
            </w:r>
          </w:p>
        </w:tc>
        <w:tc>
          <w:tcPr>
            <w:tcW w:w="2520" w:type="dxa"/>
            <w:shd w:val="clear" w:color="auto" w:fill="FFFFFF" w:themeFill="background1"/>
          </w:tcPr>
          <w:p w14:paraId="230CB641" w14:textId="560F037E" w:rsidR="00B649AD" w:rsidRPr="000F779A" w:rsidRDefault="00B649AD" w:rsidP="002309D6">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bl>
    <w:p w14:paraId="5F35B5E4" w14:textId="77777777" w:rsidR="00A14EC9" w:rsidRPr="000F779A" w:rsidRDefault="00A14EC9">
      <w:pPr>
        <w:rPr>
          <w:rFonts w:asciiTheme="minorHAnsi" w:hAnsiTheme="minorHAnsi" w:cstheme="minorHAnsi"/>
          <w:sz w:val="22"/>
          <w:szCs w:val="22"/>
        </w:rPr>
      </w:pPr>
    </w:p>
    <w:p w14:paraId="7272564A" w14:textId="77777777" w:rsidR="002A40CB" w:rsidRPr="000F779A" w:rsidRDefault="002A40CB">
      <w:pPr>
        <w:rPr>
          <w:rFonts w:asciiTheme="minorHAnsi" w:hAnsiTheme="minorHAnsi" w:cstheme="minorHAnsi"/>
          <w:sz w:val="22"/>
          <w:szCs w:val="22"/>
        </w:rPr>
      </w:pPr>
    </w:p>
    <w:p w14:paraId="71395A75" w14:textId="25016DB7" w:rsidR="00DB68D7" w:rsidRPr="000F779A" w:rsidRDefault="008E1579" w:rsidP="00DE6984">
      <w:pPr>
        <w:jc w:val="center"/>
        <w:rPr>
          <w:rFonts w:asciiTheme="minorHAnsi" w:hAnsiTheme="minorHAnsi" w:cstheme="minorHAnsi"/>
          <w:b/>
          <w:bCs/>
          <w:sz w:val="22"/>
          <w:szCs w:val="22"/>
        </w:rPr>
      </w:pPr>
      <w:r w:rsidRPr="000F779A">
        <w:rPr>
          <w:rFonts w:asciiTheme="minorHAnsi" w:hAnsiTheme="minorHAnsi" w:cstheme="minorHAnsi"/>
          <w:b/>
          <w:bCs/>
          <w:sz w:val="22"/>
          <w:szCs w:val="22"/>
        </w:rPr>
        <w:t xml:space="preserve">Final Prior Authorization </w:t>
      </w:r>
      <w:r w:rsidR="000B3881" w:rsidRPr="000F779A">
        <w:rPr>
          <w:rFonts w:asciiTheme="minorHAnsi" w:hAnsiTheme="minorHAnsi" w:cstheme="minorHAnsi"/>
          <w:b/>
          <w:bCs/>
          <w:sz w:val="22"/>
          <w:szCs w:val="22"/>
        </w:rPr>
        <w:t xml:space="preserve">Decision </w:t>
      </w:r>
      <w:r w:rsidRPr="000F779A">
        <w:rPr>
          <w:rFonts w:asciiTheme="minorHAnsi" w:hAnsiTheme="minorHAnsi" w:cstheme="minorHAnsi"/>
          <w:b/>
          <w:bCs/>
          <w:sz w:val="22"/>
          <w:szCs w:val="22"/>
        </w:rPr>
        <w:t>Timeframes (Excluding Drugs)</w:t>
      </w:r>
      <w:r w:rsidR="0023115D" w:rsidRPr="000F779A">
        <w:rPr>
          <w:rFonts w:asciiTheme="minorHAnsi" w:hAnsiTheme="minorHAnsi" w:cstheme="minorHAnsi"/>
          <w:b/>
          <w:bCs/>
          <w:sz w:val="22"/>
          <w:szCs w:val="22"/>
        </w:rPr>
        <w:t xml:space="preserve"> Beginning in 2026</w:t>
      </w:r>
    </w:p>
    <w:p w14:paraId="44BD0857" w14:textId="38445973" w:rsidR="005A553B" w:rsidRPr="000F779A" w:rsidRDefault="00A019D6" w:rsidP="00DE6984">
      <w:pPr>
        <w:jc w:val="center"/>
        <w:rPr>
          <w:rFonts w:asciiTheme="minorHAnsi" w:hAnsiTheme="minorHAnsi" w:cstheme="minorHAnsi"/>
          <w:b/>
          <w:bCs/>
          <w:sz w:val="22"/>
          <w:szCs w:val="22"/>
        </w:rPr>
      </w:pPr>
      <w:r w:rsidRPr="000F779A">
        <w:rPr>
          <w:rFonts w:asciiTheme="minorHAnsi" w:hAnsiTheme="minorHAnsi" w:cstheme="minorHAnsi"/>
          <w:b/>
          <w:bCs/>
          <w:sz w:val="22"/>
          <w:szCs w:val="22"/>
        </w:rPr>
        <w:t xml:space="preserve">(Table </w:t>
      </w:r>
      <w:r w:rsidR="000B3881" w:rsidRPr="000F779A">
        <w:rPr>
          <w:rFonts w:asciiTheme="minorHAnsi" w:hAnsiTheme="minorHAnsi" w:cstheme="minorHAnsi"/>
          <w:b/>
          <w:bCs/>
          <w:sz w:val="22"/>
          <w:szCs w:val="22"/>
        </w:rPr>
        <w:t>E1</w:t>
      </w:r>
      <w:r w:rsidR="0023115D" w:rsidRPr="000F779A">
        <w:rPr>
          <w:rFonts w:asciiTheme="minorHAnsi" w:hAnsiTheme="minorHAnsi" w:cstheme="minorHAnsi"/>
          <w:b/>
          <w:bCs/>
          <w:sz w:val="22"/>
          <w:szCs w:val="22"/>
        </w:rPr>
        <w:t>—</w:t>
      </w:r>
      <w:r w:rsidR="000B3881" w:rsidRPr="000F779A">
        <w:rPr>
          <w:rFonts w:asciiTheme="minorHAnsi" w:hAnsiTheme="minorHAnsi" w:cstheme="minorHAnsi"/>
          <w:b/>
          <w:bCs/>
          <w:sz w:val="22"/>
          <w:szCs w:val="22"/>
        </w:rPr>
        <w:t>P</w:t>
      </w:r>
      <w:r w:rsidR="0023115D" w:rsidRPr="000F779A">
        <w:rPr>
          <w:rFonts w:asciiTheme="minorHAnsi" w:hAnsiTheme="minorHAnsi" w:cstheme="minorHAnsi"/>
          <w:b/>
          <w:bCs/>
          <w:sz w:val="22"/>
          <w:szCs w:val="22"/>
        </w:rPr>
        <w:t>age 8883</w:t>
      </w:r>
      <w:r w:rsidR="00B23908" w:rsidRPr="000F779A">
        <w:rPr>
          <w:rFonts w:asciiTheme="minorHAnsi" w:hAnsiTheme="minorHAnsi" w:cstheme="minorHAnsi"/>
          <w:b/>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4682"/>
        <w:gridCol w:w="4683"/>
      </w:tblGrid>
      <w:tr w:rsidR="0066322C" w:rsidRPr="000F779A" w14:paraId="6C7FDC57" w14:textId="77777777" w:rsidTr="00EC5671">
        <w:trPr>
          <w:trHeight w:val="584"/>
          <w:tblHeader/>
          <w:jc w:val="center"/>
        </w:trPr>
        <w:tc>
          <w:tcPr>
            <w:tcW w:w="3235" w:type="dxa"/>
            <w:shd w:val="clear" w:color="auto" w:fill="0070C0"/>
          </w:tcPr>
          <w:p w14:paraId="3A10635F" w14:textId="50AE3FB3" w:rsidR="0066322C" w:rsidRPr="000F779A" w:rsidRDefault="00D60652" w:rsidP="00BB1C25">
            <w:pPr>
              <w:kinsoku w:val="0"/>
              <w:overflowPunct w:val="0"/>
              <w:autoSpaceDE w:val="0"/>
              <w:autoSpaceDN w:val="0"/>
              <w:adjustRightInd w:val="0"/>
              <w:spacing w:before="160" w:after="160" w:line="235" w:lineRule="auto"/>
              <w:ind w:left="113" w:hanging="1"/>
              <w:jc w:val="center"/>
              <w:rPr>
                <w:rFonts w:asciiTheme="minorHAnsi" w:eastAsiaTheme="minorHAnsi" w:hAnsiTheme="minorHAnsi" w:cstheme="minorHAnsi"/>
                <w:b/>
                <w:bCs/>
                <w:color w:val="FFFFFF" w:themeColor="background1"/>
                <w:spacing w:val="-2"/>
                <w:sz w:val="22"/>
                <w:szCs w:val="22"/>
                <w14:ligatures w14:val="standardContextual"/>
              </w:rPr>
            </w:pPr>
            <w:r w:rsidRPr="000F779A">
              <w:rPr>
                <w:rFonts w:asciiTheme="minorHAnsi" w:eastAsiaTheme="minorHAnsi" w:hAnsiTheme="minorHAnsi" w:cstheme="minorHAnsi"/>
                <w:b/>
                <w:bCs/>
                <w:color w:val="FFFFFF" w:themeColor="background1"/>
                <w:spacing w:val="-2"/>
                <w:sz w:val="22"/>
                <w:szCs w:val="22"/>
                <w14:ligatures w14:val="standardContextual"/>
              </w:rPr>
              <w:t>Payer</w:t>
            </w:r>
          </w:p>
        </w:tc>
        <w:tc>
          <w:tcPr>
            <w:tcW w:w="4682" w:type="dxa"/>
            <w:shd w:val="clear" w:color="auto" w:fill="0070C0"/>
          </w:tcPr>
          <w:p w14:paraId="21C0FBAB" w14:textId="60D85305" w:rsidR="0066322C" w:rsidRPr="000F779A" w:rsidRDefault="00D60652" w:rsidP="00BB1C25">
            <w:pPr>
              <w:kinsoku w:val="0"/>
              <w:overflowPunct w:val="0"/>
              <w:autoSpaceDE w:val="0"/>
              <w:autoSpaceDN w:val="0"/>
              <w:adjustRightInd w:val="0"/>
              <w:spacing w:before="160" w:after="160"/>
              <w:ind w:left="117" w:hanging="4"/>
              <w:jc w:val="center"/>
              <w:rPr>
                <w:rFonts w:asciiTheme="minorHAnsi" w:eastAsiaTheme="minorHAnsi" w:hAnsiTheme="minorHAnsi" w:cstheme="minorHAnsi"/>
                <w:b/>
                <w:bCs/>
                <w:color w:val="FFFFFF" w:themeColor="background1"/>
                <w:sz w:val="22"/>
                <w:szCs w:val="22"/>
                <w14:ligatures w14:val="standardContextual"/>
              </w:rPr>
            </w:pPr>
            <w:r w:rsidRPr="000F779A">
              <w:rPr>
                <w:rFonts w:asciiTheme="minorHAnsi" w:eastAsiaTheme="minorHAnsi" w:hAnsiTheme="minorHAnsi" w:cstheme="minorHAnsi"/>
                <w:b/>
                <w:bCs/>
                <w:color w:val="FFFFFF" w:themeColor="background1"/>
                <w:sz w:val="22"/>
                <w:szCs w:val="22"/>
                <w14:ligatures w14:val="standardContextual"/>
              </w:rPr>
              <w:t xml:space="preserve">Final </w:t>
            </w:r>
            <w:r w:rsidR="00305A97" w:rsidRPr="000F779A">
              <w:rPr>
                <w:rFonts w:asciiTheme="minorHAnsi" w:eastAsiaTheme="minorHAnsi" w:hAnsiTheme="minorHAnsi" w:cstheme="minorHAnsi"/>
                <w:b/>
                <w:bCs/>
                <w:color w:val="FFFFFF" w:themeColor="background1"/>
                <w:sz w:val="22"/>
                <w:szCs w:val="22"/>
                <w14:ligatures w14:val="standardContextual"/>
              </w:rPr>
              <w:t>Expedited</w:t>
            </w:r>
            <w:r w:rsidRPr="000F779A">
              <w:rPr>
                <w:rFonts w:asciiTheme="minorHAnsi" w:eastAsiaTheme="minorHAnsi" w:hAnsiTheme="minorHAnsi" w:cstheme="minorHAnsi"/>
                <w:b/>
                <w:bCs/>
                <w:color w:val="FFFFFF" w:themeColor="background1"/>
                <w:sz w:val="22"/>
                <w:szCs w:val="22"/>
                <w14:ligatures w14:val="standardContextual"/>
              </w:rPr>
              <w:t xml:space="preserve"> Prior </w:t>
            </w:r>
            <w:r w:rsidR="00305A97" w:rsidRPr="000F779A">
              <w:rPr>
                <w:rFonts w:asciiTheme="minorHAnsi" w:eastAsiaTheme="minorHAnsi" w:hAnsiTheme="minorHAnsi" w:cstheme="minorHAnsi"/>
                <w:b/>
                <w:bCs/>
                <w:color w:val="FFFFFF" w:themeColor="background1"/>
                <w:sz w:val="22"/>
                <w:szCs w:val="22"/>
                <w14:ligatures w14:val="standardContextual"/>
              </w:rPr>
              <w:t>Authorization</w:t>
            </w:r>
            <w:r w:rsidRPr="000F779A">
              <w:rPr>
                <w:rFonts w:asciiTheme="minorHAnsi" w:eastAsiaTheme="minorHAnsi" w:hAnsiTheme="minorHAnsi" w:cstheme="minorHAnsi"/>
                <w:b/>
                <w:bCs/>
                <w:color w:val="FFFFFF" w:themeColor="background1"/>
                <w:sz w:val="22"/>
                <w:szCs w:val="22"/>
                <w14:ligatures w14:val="standardContextual"/>
              </w:rPr>
              <w:t xml:space="preserve"> Decision</w:t>
            </w:r>
            <w:r w:rsidR="00305A97" w:rsidRPr="000F779A">
              <w:rPr>
                <w:rFonts w:asciiTheme="minorHAnsi" w:eastAsiaTheme="minorHAnsi" w:hAnsiTheme="minorHAnsi" w:cstheme="minorHAnsi"/>
                <w:b/>
                <w:bCs/>
                <w:color w:val="FFFFFF" w:themeColor="background1"/>
                <w:sz w:val="22"/>
                <w:szCs w:val="22"/>
                <w14:ligatures w14:val="standardContextual"/>
              </w:rPr>
              <w:t xml:space="preserve"> Timeframes</w:t>
            </w:r>
          </w:p>
        </w:tc>
        <w:tc>
          <w:tcPr>
            <w:tcW w:w="4683" w:type="dxa"/>
            <w:shd w:val="clear" w:color="auto" w:fill="0070C0"/>
          </w:tcPr>
          <w:p w14:paraId="0383A5E4" w14:textId="4D3C2314" w:rsidR="0066322C" w:rsidRPr="000F779A" w:rsidRDefault="00305A97" w:rsidP="00BB1C25">
            <w:pPr>
              <w:kinsoku w:val="0"/>
              <w:overflowPunct w:val="0"/>
              <w:autoSpaceDE w:val="0"/>
              <w:autoSpaceDN w:val="0"/>
              <w:adjustRightInd w:val="0"/>
              <w:spacing w:before="160" w:after="160"/>
              <w:ind w:left="115" w:right="193" w:firstLine="1"/>
              <w:jc w:val="center"/>
              <w:rPr>
                <w:rFonts w:asciiTheme="minorHAnsi" w:eastAsiaTheme="minorHAnsi" w:hAnsiTheme="minorHAnsi" w:cstheme="minorHAnsi"/>
                <w:b/>
                <w:bCs/>
                <w:color w:val="FFFFFF" w:themeColor="background1"/>
                <w:sz w:val="22"/>
                <w:szCs w:val="22"/>
                <w14:ligatures w14:val="standardContextual"/>
              </w:rPr>
            </w:pPr>
            <w:r w:rsidRPr="000F779A">
              <w:rPr>
                <w:rFonts w:asciiTheme="minorHAnsi" w:eastAsiaTheme="minorHAnsi" w:hAnsiTheme="minorHAnsi" w:cstheme="minorHAnsi"/>
                <w:b/>
                <w:bCs/>
                <w:color w:val="FFFFFF" w:themeColor="background1"/>
                <w:sz w:val="22"/>
                <w:szCs w:val="22"/>
                <w14:ligatures w14:val="standardContextual"/>
              </w:rPr>
              <w:t>Final Standard Prior Authorization Decision Timeframes</w:t>
            </w:r>
          </w:p>
        </w:tc>
      </w:tr>
      <w:tr w:rsidR="00810157" w:rsidRPr="000F779A" w14:paraId="1EF4EA9F" w14:textId="77777777" w:rsidTr="00EC5671">
        <w:trPr>
          <w:trHeight w:val="1380"/>
          <w:jc w:val="center"/>
        </w:trPr>
        <w:tc>
          <w:tcPr>
            <w:tcW w:w="3235" w:type="dxa"/>
          </w:tcPr>
          <w:p w14:paraId="52F4C75C" w14:textId="3F05B903" w:rsidR="00810157" w:rsidRPr="000F779A" w:rsidRDefault="00EB62FE" w:rsidP="00F74847">
            <w:pPr>
              <w:kinsoku w:val="0"/>
              <w:overflowPunct w:val="0"/>
              <w:autoSpaceDE w:val="0"/>
              <w:autoSpaceDN w:val="0"/>
              <w:adjustRightInd w:val="0"/>
              <w:spacing w:before="11" w:line="235" w:lineRule="auto"/>
              <w:ind w:left="113" w:hanging="1"/>
              <w:rPr>
                <w:rFonts w:asciiTheme="minorHAnsi" w:eastAsiaTheme="minorHAnsi" w:hAnsiTheme="minorHAnsi" w:cstheme="minorHAnsi"/>
                <w:spacing w:val="-2"/>
                <w:sz w:val="22"/>
                <w:szCs w:val="22"/>
                <w14:ligatures w14:val="standardContextual"/>
              </w:rPr>
            </w:pPr>
            <w:r w:rsidRPr="000F779A">
              <w:rPr>
                <w:rFonts w:asciiTheme="minorHAnsi" w:eastAsiaTheme="minorHAnsi" w:hAnsiTheme="minorHAnsi" w:cstheme="minorHAnsi"/>
                <w:spacing w:val="-2"/>
                <w:sz w:val="22"/>
                <w:szCs w:val="22"/>
                <w14:ligatures w14:val="standardContextual"/>
              </w:rPr>
              <w:t>MA Organizations and Applicable Integrated Plan</w:t>
            </w:r>
            <w:r w:rsidR="00892122" w:rsidRPr="000F779A">
              <w:rPr>
                <w:rFonts w:asciiTheme="minorHAnsi" w:eastAsiaTheme="minorHAnsi" w:hAnsiTheme="minorHAnsi" w:cstheme="minorHAnsi"/>
                <w:spacing w:val="-2"/>
                <w:sz w:val="22"/>
                <w:szCs w:val="22"/>
                <w14:ligatures w14:val="standardContextual"/>
              </w:rPr>
              <w:t>s</w:t>
            </w:r>
          </w:p>
        </w:tc>
        <w:tc>
          <w:tcPr>
            <w:tcW w:w="4682" w:type="dxa"/>
          </w:tcPr>
          <w:p w14:paraId="6F4D49C3" w14:textId="77777777" w:rsidR="00810157" w:rsidRPr="000F779A" w:rsidRDefault="00892122" w:rsidP="00820548">
            <w:pPr>
              <w:kinsoku w:val="0"/>
              <w:overflowPunct w:val="0"/>
              <w:autoSpaceDE w:val="0"/>
              <w:autoSpaceDN w:val="0"/>
              <w:adjustRightInd w:val="0"/>
              <w:spacing w:before="7"/>
              <w:ind w:left="117" w:hanging="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As expeditiously as the enrollee's health condition requires and no later than 72 hours after receipt of the request.*</w:t>
            </w:r>
          </w:p>
          <w:p w14:paraId="0EBB9B7E" w14:textId="77777777" w:rsidR="009229F7" w:rsidRPr="000F779A" w:rsidRDefault="009229F7" w:rsidP="00820548">
            <w:pPr>
              <w:kinsoku w:val="0"/>
              <w:overflowPunct w:val="0"/>
              <w:autoSpaceDE w:val="0"/>
              <w:autoSpaceDN w:val="0"/>
              <w:adjustRightInd w:val="0"/>
              <w:spacing w:before="7"/>
              <w:ind w:left="117" w:hanging="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422.572(a)</w:t>
            </w:r>
          </w:p>
          <w:p w14:paraId="1391086B" w14:textId="7653E3AF" w:rsidR="009229F7" w:rsidRPr="000F779A" w:rsidRDefault="009229F7" w:rsidP="00820548">
            <w:pPr>
              <w:kinsoku w:val="0"/>
              <w:overflowPunct w:val="0"/>
              <w:autoSpaceDE w:val="0"/>
              <w:autoSpaceDN w:val="0"/>
              <w:adjustRightInd w:val="0"/>
              <w:spacing w:before="7"/>
              <w:ind w:left="117" w:hanging="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422.</w:t>
            </w:r>
            <w:r w:rsidR="00C11CA5" w:rsidRPr="000F779A">
              <w:rPr>
                <w:rFonts w:asciiTheme="minorHAnsi" w:eastAsiaTheme="minorHAnsi" w:hAnsiTheme="minorHAnsi" w:cstheme="minorHAnsi"/>
                <w:sz w:val="22"/>
                <w:szCs w:val="22"/>
                <w14:ligatures w14:val="standardContextual"/>
              </w:rPr>
              <w:t>631(d)(2)(iv)</w:t>
            </w:r>
          </w:p>
        </w:tc>
        <w:tc>
          <w:tcPr>
            <w:tcW w:w="4683" w:type="dxa"/>
          </w:tcPr>
          <w:p w14:paraId="3DFC9BE1" w14:textId="6EF8D2EF" w:rsidR="00810157" w:rsidRPr="000F779A" w:rsidRDefault="00C11CA5" w:rsidP="006E61A5">
            <w:pPr>
              <w:kinsoku w:val="0"/>
              <w:overflowPunct w:val="0"/>
              <w:autoSpaceDE w:val="0"/>
              <w:autoSpaceDN w:val="0"/>
              <w:adjustRightInd w:val="0"/>
              <w:spacing w:before="2"/>
              <w:ind w:left="115" w:right="193" w:firstLine="1"/>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 xml:space="preserve">As expeditiously as the enrollee's condition requires but no later than 7 calendar days after receiving the request for the standard </w:t>
            </w:r>
            <w:r w:rsidR="005735CD" w:rsidRPr="000F779A">
              <w:rPr>
                <w:rFonts w:asciiTheme="minorHAnsi" w:eastAsiaTheme="minorHAnsi" w:hAnsiTheme="minorHAnsi" w:cstheme="minorHAnsi"/>
                <w:sz w:val="22"/>
                <w:szCs w:val="22"/>
                <w14:ligatures w14:val="standardContextual"/>
              </w:rPr>
              <w:t xml:space="preserve">organization determination* and standard </w:t>
            </w:r>
            <w:r w:rsidR="00595F06" w:rsidRPr="000F779A">
              <w:rPr>
                <w:rFonts w:asciiTheme="minorHAnsi" w:eastAsiaTheme="minorHAnsi" w:hAnsiTheme="minorHAnsi" w:cstheme="minorHAnsi"/>
                <w:sz w:val="22"/>
                <w:szCs w:val="22"/>
                <w14:ligatures w14:val="standardContextual"/>
              </w:rPr>
              <w:t>integrated organization decision.</w:t>
            </w:r>
          </w:p>
        </w:tc>
      </w:tr>
      <w:tr w:rsidR="00F74847" w:rsidRPr="000F779A" w14:paraId="36F97C15" w14:textId="77777777" w:rsidTr="00EC5671">
        <w:trPr>
          <w:trHeight w:val="1380"/>
          <w:jc w:val="center"/>
        </w:trPr>
        <w:tc>
          <w:tcPr>
            <w:tcW w:w="3235" w:type="dxa"/>
          </w:tcPr>
          <w:p w14:paraId="4B92EEAA" w14:textId="77777777" w:rsidR="00F74847" w:rsidRPr="000F779A" w:rsidRDefault="00F74847" w:rsidP="00F74847">
            <w:pPr>
              <w:kinsoku w:val="0"/>
              <w:overflowPunct w:val="0"/>
              <w:autoSpaceDE w:val="0"/>
              <w:autoSpaceDN w:val="0"/>
              <w:adjustRightInd w:val="0"/>
              <w:spacing w:before="11" w:line="235" w:lineRule="auto"/>
              <w:ind w:left="113" w:hanging="1"/>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pacing w:val="-2"/>
                <w:sz w:val="22"/>
                <w:szCs w:val="22"/>
                <w14:ligatures w14:val="standardContextual"/>
              </w:rPr>
              <w:t>Medicaid</w:t>
            </w:r>
            <w:r w:rsidRPr="000F779A">
              <w:rPr>
                <w:rFonts w:asciiTheme="minorHAnsi" w:eastAsiaTheme="minorHAnsi" w:hAnsiTheme="minorHAnsi" w:cstheme="minorHAnsi"/>
                <w:spacing w:val="-11"/>
                <w:sz w:val="22"/>
                <w:szCs w:val="22"/>
                <w14:ligatures w14:val="standardContextual"/>
              </w:rPr>
              <w:t xml:space="preserve"> </w:t>
            </w:r>
            <w:r w:rsidRPr="000F779A">
              <w:rPr>
                <w:rFonts w:asciiTheme="minorHAnsi" w:eastAsiaTheme="minorHAnsi" w:hAnsiTheme="minorHAnsi" w:cstheme="minorHAnsi"/>
                <w:spacing w:val="-2"/>
                <w:sz w:val="22"/>
                <w:szCs w:val="22"/>
                <w14:ligatures w14:val="standardContextual"/>
              </w:rPr>
              <w:t xml:space="preserve">Managed </w:t>
            </w:r>
            <w:r w:rsidRPr="000F779A">
              <w:rPr>
                <w:rFonts w:asciiTheme="minorHAnsi" w:eastAsiaTheme="minorHAnsi" w:hAnsiTheme="minorHAnsi" w:cstheme="minorHAnsi"/>
                <w:sz w:val="22"/>
                <w:szCs w:val="22"/>
                <w14:ligatures w14:val="standardContextual"/>
              </w:rPr>
              <w:t>Care Plans</w:t>
            </w:r>
          </w:p>
        </w:tc>
        <w:tc>
          <w:tcPr>
            <w:tcW w:w="4682" w:type="dxa"/>
          </w:tcPr>
          <w:p w14:paraId="47053375" w14:textId="77777777" w:rsidR="00820548" w:rsidRPr="000F779A" w:rsidRDefault="00F74847" w:rsidP="00820548">
            <w:pPr>
              <w:kinsoku w:val="0"/>
              <w:overflowPunct w:val="0"/>
              <w:autoSpaceDE w:val="0"/>
              <w:autoSpaceDN w:val="0"/>
              <w:adjustRightInd w:val="0"/>
              <w:spacing w:before="7"/>
              <w:ind w:left="117" w:hanging="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As expeditiously as the enrollee's health condition requires</w:t>
            </w:r>
            <w:r w:rsidRPr="000F779A">
              <w:rPr>
                <w:rFonts w:asciiTheme="minorHAnsi" w:eastAsiaTheme="minorHAnsi" w:hAnsiTheme="minorHAnsi" w:cstheme="minorHAnsi"/>
                <w:spacing w:val="-7"/>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and</w:t>
            </w:r>
            <w:r w:rsidRPr="000F779A">
              <w:rPr>
                <w:rFonts w:asciiTheme="minorHAnsi" w:eastAsiaTheme="minorHAnsi" w:hAnsiTheme="minorHAnsi" w:cstheme="minorHAnsi"/>
                <w:spacing w:val="-5"/>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no</w:t>
            </w:r>
            <w:r w:rsidRPr="000F779A">
              <w:rPr>
                <w:rFonts w:asciiTheme="minorHAnsi" w:eastAsiaTheme="minorHAnsi" w:hAnsiTheme="minorHAnsi" w:cstheme="minorHAnsi"/>
                <w:spacing w:val="-8"/>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later</w:t>
            </w:r>
            <w:r w:rsidRPr="000F779A">
              <w:rPr>
                <w:rFonts w:asciiTheme="minorHAnsi" w:eastAsiaTheme="minorHAnsi" w:hAnsiTheme="minorHAnsi" w:cstheme="minorHAnsi"/>
                <w:spacing w:val="-1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than</w:t>
            </w:r>
            <w:r w:rsidRPr="000F779A">
              <w:rPr>
                <w:rFonts w:asciiTheme="minorHAnsi" w:eastAsiaTheme="minorHAnsi" w:hAnsiTheme="minorHAnsi" w:cstheme="minorHAnsi"/>
                <w:spacing w:val="-6"/>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72 hours after receipt of the request for service.</w:t>
            </w:r>
            <w:r w:rsidR="00820548" w:rsidRPr="000F779A">
              <w:rPr>
                <w:rFonts w:asciiTheme="minorHAnsi" w:eastAsiaTheme="minorHAnsi" w:hAnsiTheme="minorHAnsi" w:cstheme="minorHAnsi"/>
                <w:sz w:val="22"/>
                <w:szCs w:val="22"/>
                <w14:ligatures w14:val="standardContextual"/>
              </w:rPr>
              <w:t xml:space="preserve"> </w:t>
            </w:r>
          </w:p>
          <w:p w14:paraId="0B71B8E0" w14:textId="2EB09307" w:rsidR="00F74847" w:rsidRPr="000F779A" w:rsidRDefault="00F74847" w:rsidP="00820548">
            <w:pPr>
              <w:kinsoku w:val="0"/>
              <w:overflowPunct w:val="0"/>
              <w:autoSpaceDE w:val="0"/>
              <w:autoSpaceDN w:val="0"/>
              <w:adjustRightInd w:val="0"/>
              <w:spacing w:before="7"/>
              <w:ind w:left="117" w:hanging="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438.210</w:t>
            </w:r>
            <w:r w:rsidR="00404712" w:rsidRPr="000F779A">
              <w:rPr>
                <w:rFonts w:asciiTheme="minorHAnsi" w:eastAsiaTheme="minorHAnsi" w:hAnsiTheme="minorHAnsi" w:cstheme="minorHAnsi"/>
                <w:sz w:val="22"/>
                <w:szCs w:val="22"/>
                <w14:ligatures w14:val="standardContextual"/>
              </w:rPr>
              <w:t>(</w:t>
            </w:r>
            <w:r w:rsidRPr="000F779A">
              <w:rPr>
                <w:rFonts w:asciiTheme="minorHAnsi" w:eastAsiaTheme="minorHAnsi" w:hAnsiTheme="minorHAnsi" w:cstheme="minorHAnsi"/>
                <w:sz w:val="22"/>
                <w:szCs w:val="22"/>
                <w14:ligatures w14:val="standardContextual"/>
              </w:rPr>
              <w:t>d)(2</w:t>
            </w:r>
            <w:r w:rsidR="00404712" w:rsidRPr="000F779A">
              <w:rPr>
                <w:rFonts w:asciiTheme="minorHAnsi" w:eastAsiaTheme="minorHAnsi" w:hAnsiTheme="minorHAnsi" w:cstheme="minorHAnsi"/>
                <w:sz w:val="22"/>
                <w:szCs w:val="22"/>
                <w14:ligatures w14:val="standardContextual"/>
              </w:rPr>
              <w:t>)</w:t>
            </w:r>
          </w:p>
        </w:tc>
        <w:tc>
          <w:tcPr>
            <w:tcW w:w="4683" w:type="dxa"/>
          </w:tcPr>
          <w:p w14:paraId="24CE3162" w14:textId="2868C8DC" w:rsidR="00F74847" w:rsidRPr="000F779A" w:rsidRDefault="00F74847" w:rsidP="006E61A5">
            <w:pPr>
              <w:kinsoku w:val="0"/>
              <w:overflowPunct w:val="0"/>
              <w:autoSpaceDE w:val="0"/>
              <w:autoSpaceDN w:val="0"/>
              <w:adjustRightInd w:val="0"/>
              <w:spacing w:before="2"/>
              <w:ind w:left="115" w:right="193" w:firstLine="1"/>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As</w:t>
            </w:r>
            <w:r w:rsidRPr="000F779A">
              <w:rPr>
                <w:rFonts w:asciiTheme="minorHAnsi" w:eastAsiaTheme="minorHAnsi" w:hAnsiTheme="minorHAnsi" w:cstheme="minorHAnsi"/>
                <w:spacing w:val="-6"/>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expeditiously as</w:t>
            </w:r>
            <w:r w:rsidRPr="000F779A">
              <w:rPr>
                <w:rFonts w:asciiTheme="minorHAnsi" w:eastAsiaTheme="minorHAnsi" w:hAnsiTheme="minorHAnsi" w:cstheme="minorHAnsi"/>
                <w:spacing w:val="-10"/>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the</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enrollee's condition</w:t>
            </w:r>
            <w:r w:rsidRPr="000F779A">
              <w:rPr>
                <w:rFonts w:asciiTheme="minorHAnsi" w:eastAsiaTheme="minorHAnsi" w:hAnsiTheme="minorHAnsi" w:cstheme="minorHAnsi"/>
                <w:spacing w:val="-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 xml:space="preserve">requires and within </w:t>
            </w:r>
            <w:r w:rsidR="00D20C60" w:rsidRPr="000F779A">
              <w:rPr>
                <w:rFonts w:asciiTheme="minorHAnsi" w:eastAsiaTheme="minorHAnsi" w:hAnsiTheme="minorHAnsi" w:cstheme="minorHAnsi"/>
                <w:sz w:val="22"/>
                <w:szCs w:val="22"/>
                <w14:ligatures w14:val="standardContextual"/>
              </w:rPr>
              <w:t>state</w:t>
            </w:r>
            <w:r w:rsidRPr="000F779A">
              <w:rPr>
                <w:rFonts w:asciiTheme="minorHAnsi" w:eastAsiaTheme="minorHAnsi" w:hAnsiTheme="minorHAnsi" w:cstheme="minorHAnsi"/>
                <w:spacing w:val="-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established timeframes that</w:t>
            </w:r>
            <w:r w:rsidRPr="000F779A">
              <w:rPr>
                <w:rFonts w:asciiTheme="minorHAnsi" w:eastAsiaTheme="minorHAnsi" w:hAnsiTheme="minorHAnsi" w:cstheme="minorHAnsi"/>
                <w:spacing w:val="-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may</w:t>
            </w:r>
            <w:r w:rsidRPr="000F779A">
              <w:rPr>
                <w:rFonts w:asciiTheme="minorHAnsi" w:eastAsiaTheme="minorHAnsi" w:hAnsiTheme="minorHAnsi" w:cstheme="minorHAnsi"/>
                <w:spacing w:val="-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not</w:t>
            </w:r>
            <w:r w:rsidR="00820548" w:rsidRPr="000F779A">
              <w:rPr>
                <w:rFonts w:asciiTheme="minorHAnsi" w:eastAsiaTheme="minorHAnsi" w:hAnsiTheme="minorHAnsi" w:cstheme="minorHAnsi"/>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exceed</w:t>
            </w:r>
            <w:r w:rsidR="006E61A5" w:rsidRPr="000F779A">
              <w:rPr>
                <w:rFonts w:asciiTheme="minorHAnsi" w:eastAsiaTheme="minorHAnsi" w:hAnsiTheme="minorHAnsi" w:cstheme="minorHAnsi"/>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7 calendar days after receiving the request for service.</w:t>
            </w:r>
          </w:p>
          <w:p w14:paraId="1549456F" w14:textId="77777777" w:rsidR="00F74847" w:rsidRPr="000F779A" w:rsidRDefault="00F74847" w:rsidP="006E61A5">
            <w:pPr>
              <w:kinsoku w:val="0"/>
              <w:overflowPunct w:val="0"/>
              <w:autoSpaceDE w:val="0"/>
              <w:autoSpaceDN w:val="0"/>
              <w:adjustRightInd w:val="0"/>
              <w:spacing w:before="2"/>
              <w:ind w:left="11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438.210(d)(l)</w:t>
            </w:r>
          </w:p>
        </w:tc>
      </w:tr>
      <w:tr w:rsidR="00F74847" w:rsidRPr="000F779A" w14:paraId="7D3ACE21" w14:textId="77777777" w:rsidTr="00EC5671">
        <w:trPr>
          <w:trHeight w:val="1837"/>
          <w:jc w:val="center"/>
        </w:trPr>
        <w:tc>
          <w:tcPr>
            <w:tcW w:w="3235" w:type="dxa"/>
          </w:tcPr>
          <w:p w14:paraId="1C19F36B" w14:textId="77777777" w:rsidR="00F74847" w:rsidRPr="000F779A" w:rsidRDefault="00F74847" w:rsidP="00F74847">
            <w:pPr>
              <w:kinsoku w:val="0"/>
              <w:overflowPunct w:val="0"/>
              <w:autoSpaceDE w:val="0"/>
              <w:autoSpaceDN w:val="0"/>
              <w:adjustRightInd w:val="0"/>
              <w:spacing w:before="5"/>
              <w:ind w:left="113" w:right="486"/>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pacing w:val="-2"/>
                <w:sz w:val="22"/>
                <w:szCs w:val="22"/>
                <w14:ligatures w14:val="standardContextual"/>
              </w:rPr>
              <w:lastRenderedPageBreak/>
              <w:t>CHIP</w:t>
            </w:r>
            <w:r w:rsidRPr="000F779A">
              <w:rPr>
                <w:rFonts w:asciiTheme="minorHAnsi" w:eastAsiaTheme="minorHAnsi" w:hAnsiTheme="minorHAnsi" w:cstheme="minorHAnsi"/>
                <w:spacing w:val="-11"/>
                <w:sz w:val="22"/>
                <w:szCs w:val="22"/>
                <w14:ligatures w14:val="standardContextual"/>
              </w:rPr>
              <w:t xml:space="preserve"> </w:t>
            </w:r>
            <w:r w:rsidRPr="000F779A">
              <w:rPr>
                <w:rFonts w:asciiTheme="minorHAnsi" w:eastAsiaTheme="minorHAnsi" w:hAnsiTheme="minorHAnsi" w:cstheme="minorHAnsi"/>
                <w:spacing w:val="-2"/>
                <w:sz w:val="22"/>
                <w:szCs w:val="22"/>
                <w14:ligatures w14:val="standardContextual"/>
              </w:rPr>
              <w:t xml:space="preserve">Managed </w:t>
            </w:r>
            <w:r w:rsidRPr="000F779A">
              <w:rPr>
                <w:rFonts w:asciiTheme="minorHAnsi" w:eastAsiaTheme="minorHAnsi" w:hAnsiTheme="minorHAnsi" w:cstheme="minorHAnsi"/>
                <w:sz w:val="22"/>
                <w:szCs w:val="22"/>
                <w14:ligatures w14:val="standardContextual"/>
              </w:rPr>
              <w:t>Care Entities</w:t>
            </w:r>
          </w:p>
        </w:tc>
        <w:tc>
          <w:tcPr>
            <w:tcW w:w="4682" w:type="dxa"/>
          </w:tcPr>
          <w:p w14:paraId="3096F0B7" w14:textId="1B7455F8" w:rsidR="00927A96" w:rsidRPr="000F779A" w:rsidRDefault="00F74847" w:rsidP="00927A96">
            <w:pPr>
              <w:kinsoku w:val="0"/>
              <w:overflowPunct w:val="0"/>
              <w:autoSpaceDE w:val="0"/>
              <w:autoSpaceDN w:val="0"/>
              <w:adjustRightInd w:val="0"/>
              <w:spacing w:before="5"/>
              <w:ind w:left="113" w:right="125" w:firstLine="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 xml:space="preserve">As expeditiously as the enrollee's health condition requires but no later than 72 hours after receipt of the request for </w:t>
            </w:r>
            <w:r w:rsidR="00DF5D2C" w:rsidRPr="000F779A">
              <w:rPr>
                <w:rFonts w:asciiTheme="minorHAnsi" w:eastAsiaTheme="minorHAnsi" w:hAnsiTheme="minorHAnsi" w:cstheme="minorHAnsi"/>
                <w:sz w:val="22"/>
                <w:szCs w:val="22"/>
                <w14:ligatures w14:val="standardContextual"/>
              </w:rPr>
              <w:t>service unless</w:t>
            </w:r>
            <w:r w:rsidRPr="000F779A">
              <w:rPr>
                <w:rFonts w:asciiTheme="minorHAnsi" w:eastAsiaTheme="minorHAnsi" w:hAnsiTheme="minorHAnsi" w:cstheme="minorHAnsi"/>
                <w:sz w:val="22"/>
                <w:szCs w:val="22"/>
                <w14:ligatures w14:val="standardContextual"/>
              </w:rPr>
              <w:t xml:space="preserve"> a shorter minimum time frame is</w:t>
            </w:r>
            <w:r w:rsidRPr="000F779A">
              <w:rPr>
                <w:rFonts w:asciiTheme="minorHAnsi" w:eastAsiaTheme="minorHAnsi" w:hAnsiTheme="minorHAnsi" w:cstheme="minorHAnsi"/>
                <w:spacing w:val="-1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established</w:t>
            </w:r>
            <w:r w:rsidRPr="000F779A">
              <w:rPr>
                <w:rFonts w:asciiTheme="minorHAnsi" w:eastAsiaTheme="minorHAnsi" w:hAnsiTheme="minorHAnsi" w:cstheme="minorHAnsi"/>
                <w:spacing w:val="-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under</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state</w:t>
            </w:r>
            <w:r w:rsidRPr="000F779A">
              <w:rPr>
                <w:rFonts w:asciiTheme="minorHAnsi" w:eastAsiaTheme="minorHAnsi" w:hAnsiTheme="minorHAnsi" w:cstheme="minorHAnsi"/>
                <w:spacing w:val="-4"/>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law.</w:t>
            </w:r>
            <w:r w:rsidR="00927A96" w:rsidRPr="000F779A">
              <w:rPr>
                <w:rFonts w:asciiTheme="minorHAnsi" w:eastAsiaTheme="minorHAnsi" w:hAnsiTheme="minorHAnsi" w:cstheme="minorHAnsi"/>
                <w:sz w:val="22"/>
                <w:szCs w:val="22"/>
                <w14:ligatures w14:val="standardContextual"/>
              </w:rPr>
              <w:t xml:space="preserve"> </w:t>
            </w:r>
          </w:p>
          <w:p w14:paraId="40FC5F31" w14:textId="7C16540A" w:rsidR="00F74847" w:rsidRPr="000F779A" w:rsidRDefault="00F74847" w:rsidP="00927A96">
            <w:pPr>
              <w:kinsoku w:val="0"/>
              <w:overflowPunct w:val="0"/>
              <w:autoSpaceDE w:val="0"/>
              <w:autoSpaceDN w:val="0"/>
              <w:adjustRightInd w:val="0"/>
              <w:spacing w:before="5"/>
              <w:ind w:left="113" w:right="125" w:firstLine="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457.</w:t>
            </w:r>
            <w:r w:rsidR="00927A96" w:rsidRPr="000F779A">
              <w:rPr>
                <w:rFonts w:asciiTheme="minorHAnsi" w:eastAsiaTheme="minorHAnsi" w:hAnsiTheme="minorHAnsi" w:cstheme="minorHAnsi"/>
                <w:sz w:val="22"/>
                <w:szCs w:val="22"/>
                <w14:ligatures w14:val="standardContextual"/>
              </w:rPr>
              <w:t>1230(d)</w:t>
            </w:r>
          </w:p>
        </w:tc>
        <w:tc>
          <w:tcPr>
            <w:tcW w:w="4683" w:type="dxa"/>
          </w:tcPr>
          <w:p w14:paraId="2228981E" w14:textId="77777777" w:rsidR="00C84AF2" w:rsidRPr="000F779A" w:rsidRDefault="00F74847" w:rsidP="00C84AF2">
            <w:pPr>
              <w:kinsoku w:val="0"/>
              <w:overflowPunct w:val="0"/>
              <w:autoSpaceDE w:val="0"/>
              <w:autoSpaceDN w:val="0"/>
              <w:adjustRightInd w:val="0"/>
              <w:spacing w:before="5"/>
              <w:ind w:left="115" w:right="110" w:firstLine="6"/>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As</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expeditiously as</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the</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enrollee's condition requires but no later than 7</w:t>
            </w:r>
            <w:r w:rsidRPr="000F779A">
              <w:rPr>
                <w:rFonts w:asciiTheme="minorHAnsi" w:eastAsiaTheme="minorHAnsi" w:hAnsiTheme="minorHAnsi" w:cstheme="minorHAnsi"/>
                <w:spacing w:val="-7"/>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calendar days after receiving the</w:t>
            </w:r>
            <w:r w:rsidRPr="000F779A">
              <w:rPr>
                <w:rFonts w:asciiTheme="minorHAnsi" w:eastAsiaTheme="minorHAnsi" w:hAnsiTheme="minorHAnsi" w:cstheme="minorHAnsi"/>
                <w:spacing w:val="-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 xml:space="preserve">request for </w:t>
            </w:r>
            <w:r w:rsidR="00A90E3E" w:rsidRPr="000F779A">
              <w:rPr>
                <w:rFonts w:asciiTheme="minorHAnsi" w:eastAsiaTheme="minorHAnsi" w:hAnsiTheme="minorHAnsi" w:cstheme="minorHAnsi"/>
                <w:sz w:val="22"/>
                <w:szCs w:val="22"/>
                <w14:ligatures w14:val="standardContextual"/>
              </w:rPr>
              <w:t>service unless</w:t>
            </w:r>
            <w:r w:rsidRPr="000F779A">
              <w:rPr>
                <w:rFonts w:asciiTheme="minorHAnsi" w:eastAsiaTheme="minorHAnsi" w:hAnsiTheme="minorHAnsi" w:cstheme="minorHAnsi"/>
                <w:sz w:val="22"/>
                <w:szCs w:val="22"/>
                <w14:ligatures w14:val="standardContextual"/>
              </w:rPr>
              <w:t xml:space="preserve"> a shorter minimum time frame is established under state law.</w:t>
            </w:r>
            <w:r w:rsidR="00C84AF2" w:rsidRPr="000F779A">
              <w:rPr>
                <w:rFonts w:asciiTheme="minorHAnsi" w:eastAsiaTheme="minorHAnsi" w:hAnsiTheme="minorHAnsi" w:cstheme="minorHAnsi"/>
                <w:sz w:val="22"/>
                <w:szCs w:val="22"/>
                <w14:ligatures w14:val="standardContextual"/>
              </w:rPr>
              <w:t xml:space="preserve"> </w:t>
            </w:r>
          </w:p>
          <w:p w14:paraId="2786E639" w14:textId="0C408485" w:rsidR="00F74847" w:rsidRPr="000F779A" w:rsidRDefault="00F74847" w:rsidP="00C84AF2">
            <w:pPr>
              <w:kinsoku w:val="0"/>
              <w:overflowPunct w:val="0"/>
              <w:autoSpaceDE w:val="0"/>
              <w:autoSpaceDN w:val="0"/>
              <w:adjustRightInd w:val="0"/>
              <w:spacing w:before="5"/>
              <w:ind w:left="115" w:right="110" w:firstLine="6"/>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CFR457.1230(d)</w:t>
            </w:r>
          </w:p>
        </w:tc>
      </w:tr>
      <w:tr w:rsidR="00F74847" w:rsidRPr="000F779A" w14:paraId="34FDACDA" w14:textId="77777777" w:rsidTr="00EC5671">
        <w:trPr>
          <w:trHeight w:val="1841"/>
          <w:jc w:val="center"/>
        </w:trPr>
        <w:tc>
          <w:tcPr>
            <w:tcW w:w="3235" w:type="dxa"/>
          </w:tcPr>
          <w:p w14:paraId="5402B562" w14:textId="77777777" w:rsidR="00F74847" w:rsidRPr="000F779A" w:rsidRDefault="00F74847" w:rsidP="00F74847">
            <w:pPr>
              <w:kinsoku w:val="0"/>
              <w:overflowPunct w:val="0"/>
              <w:autoSpaceDE w:val="0"/>
              <w:autoSpaceDN w:val="0"/>
              <w:adjustRightInd w:val="0"/>
              <w:spacing w:before="2"/>
              <w:ind w:left="122"/>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Medicaid</w:t>
            </w:r>
            <w:r w:rsidRPr="000F779A">
              <w:rPr>
                <w:rFonts w:asciiTheme="minorHAnsi" w:eastAsiaTheme="minorHAnsi" w:hAnsiTheme="minorHAnsi" w:cstheme="minorHAnsi"/>
                <w:spacing w:val="40"/>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FFS</w:t>
            </w:r>
          </w:p>
        </w:tc>
        <w:tc>
          <w:tcPr>
            <w:tcW w:w="4682" w:type="dxa"/>
          </w:tcPr>
          <w:p w14:paraId="7978DDDB" w14:textId="77777777" w:rsidR="00C84AF2" w:rsidRPr="000F779A" w:rsidRDefault="00F74847" w:rsidP="00C84AF2">
            <w:pPr>
              <w:kinsoku w:val="0"/>
              <w:overflowPunct w:val="0"/>
              <w:autoSpaceDE w:val="0"/>
              <w:autoSpaceDN w:val="0"/>
              <w:adjustRightInd w:val="0"/>
              <w:spacing w:before="2"/>
              <w:ind w:left="113" w:firstLine="5"/>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As expeditiously as a beneficiary's</w:t>
            </w:r>
            <w:r w:rsidRPr="000F779A">
              <w:rPr>
                <w:rFonts w:asciiTheme="minorHAnsi" w:eastAsiaTheme="minorHAnsi" w:hAnsiTheme="minorHAnsi" w:cstheme="minorHAnsi"/>
                <w:spacing w:val="-1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health</w:t>
            </w:r>
            <w:r w:rsidRPr="000F779A">
              <w:rPr>
                <w:rFonts w:asciiTheme="minorHAnsi" w:eastAsiaTheme="minorHAnsi" w:hAnsiTheme="minorHAnsi" w:cstheme="minorHAnsi"/>
                <w:spacing w:val="-1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condition requires, but in no case later than 72 hours after receiving the request, unless a shorter minimum time frame is</w:t>
            </w:r>
            <w:r w:rsidR="00C84AF2" w:rsidRPr="000F779A">
              <w:rPr>
                <w:rFonts w:asciiTheme="minorHAnsi" w:eastAsiaTheme="minorHAnsi" w:hAnsiTheme="minorHAnsi" w:cstheme="minorHAnsi"/>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established</w:t>
            </w:r>
            <w:r w:rsidRPr="000F779A">
              <w:rPr>
                <w:rFonts w:asciiTheme="minorHAnsi" w:eastAsiaTheme="minorHAnsi" w:hAnsiTheme="minorHAnsi" w:cstheme="minorHAnsi"/>
                <w:spacing w:val="-1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under</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state</w:t>
            </w:r>
            <w:r w:rsidRPr="000F779A">
              <w:rPr>
                <w:rFonts w:asciiTheme="minorHAnsi" w:eastAsiaTheme="minorHAnsi" w:hAnsiTheme="minorHAnsi" w:cstheme="minorHAnsi"/>
                <w:spacing w:val="-1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 xml:space="preserve">law. </w:t>
            </w:r>
          </w:p>
          <w:p w14:paraId="0C5515CB" w14:textId="6A4BD009" w:rsidR="00F74847" w:rsidRPr="000F779A" w:rsidRDefault="00F74847" w:rsidP="00C84AF2">
            <w:pPr>
              <w:kinsoku w:val="0"/>
              <w:overflowPunct w:val="0"/>
              <w:autoSpaceDE w:val="0"/>
              <w:autoSpaceDN w:val="0"/>
              <w:adjustRightInd w:val="0"/>
              <w:spacing w:before="2"/>
              <w:ind w:left="113" w:firstLine="5"/>
              <w:rPr>
                <w:rFonts w:asciiTheme="minorHAnsi" w:eastAsiaTheme="minorHAnsi" w:hAnsiTheme="minorHAnsi" w:cstheme="minorHAnsi"/>
                <w:w w:val="105"/>
                <w:sz w:val="22"/>
                <w:szCs w:val="22"/>
                <w14:ligatures w14:val="standardContextual"/>
              </w:rPr>
            </w:pPr>
            <w:r w:rsidRPr="000F779A">
              <w:rPr>
                <w:rFonts w:asciiTheme="minorHAnsi" w:eastAsiaTheme="minorHAnsi" w:hAnsiTheme="minorHAnsi" w:cstheme="minorHAnsi"/>
                <w:w w:val="105"/>
                <w:sz w:val="22"/>
                <w:szCs w:val="22"/>
                <w14:ligatures w14:val="standardContextual"/>
              </w:rPr>
              <w:t>42 CFR440.230(e)(l)(ii)</w:t>
            </w:r>
          </w:p>
        </w:tc>
        <w:tc>
          <w:tcPr>
            <w:tcW w:w="4683" w:type="dxa"/>
          </w:tcPr>
          <w:p w14:paraId="6931B510" w14:textId="77777777" w:rsidR="0057222B" w:rsidRPr="000F779A" w:rsidRDefault="00F74847" w:rsidP="0057222B">
            <w:pPr>
              <w:kinsoku w:val="0"/>
              <w:overflowPunct w:val="0"/>
              <w:autoSpaceDE w:val="0"/>
              <w:autoSpaceDN w:val="0"/>
              <w:adjustRightInd w:val="0"/>
              <w:spacing w:before="2"/>
              <w:ind w:left="116" w:right="110" w:firstLine="5"/>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As expeditiously as a beneficiary's health condition requires, but</w:t>
            </w:r>
            <w:r w:rsidRPr="000F779A">
              <w:rPr>
                <w:rFonts w:asciiTheme="minorHAnsi" w:eastAsiaTheme="minorHAnsi" w:hAnsiTheme="minorHAnsi" w:cstheme="minorHAnsi"/>
                <w:spacing w:val="-4"/>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in</w:t>
            </w:r>
            <w:r w:rsidRPr="000F779A">
              <w:rPr>
                <w:rFonts w:asciiTheme="minorHAnsi" w:eastAsiaTheme="minorHAnsi" w:hAnsiTheme="minorHAnsi" w:cstheme="minorHAnsi"/>
                <w:spacing w:val="-4"/>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no</w:t>
            </w:r>
            <w:r w:rsidRPr="000F779A">
              <w:rPr>
                <w:rFonts w:asciiTheme="minorHAnsi" w:eastAsiaTheme="minorHAnsi" w:hAnsiTheme="minorHAnsi" w:cstheme="minorHAnsi"/>
                <w:spacing w:val="-8"/>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case later</w:t>
            </w:r>
            <w:r w:rsidRPr="000F779A">
              <w:rPr>
                <w:rFonts w:asciiTheme="minorHAnsi" w:eastAsiaTheme="minorHAnsi" w:hAnsiTheme="minorHAnsi" w:cstheme="minorHAnsi"/>
                <w:spacing w:val="-8"/>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than 7</w:t>
            </w:r>
            <w:r w:rsidRPr="000F779A">
              <w:rPr>
                <w:rFonts w:asciiTheme="minorHAnsi" w:eastAsiaTheme="minorHAnsi" w:hAnsiTheme="minorHAnsi" w:cstheme="minorHAnsi"/>
                <w:spacing w:val="-1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calendar</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days</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after receiving the request, unless a shorter minimum timeframe is established</w:t>
            </w:r>
            <w:r w:rsidRPr="000F779A">
              <w:rPr>
                <w:rFonts w:asciiTheme="minorHAnsi" w:eastAsiaTheme="minorHAnsi" w:hAnsiTheme="minorHAnsi" w:cstheme="minorHAnsi"/>
                <w:spacing w:val="40"/>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under state law.</w:t>
            </w:r>
            <w:r w:rsidR="0057222B" w:rsidRPr="000F779A">
              <w:rPr>
                <w:rFonts w:asciiTheme="minorHAnsi" w:eastAsiaTheme="minorHAnsi" w:hAnsiTheme="minorHAnsi" w:cstheme="minorHAnsi"/>
                <w:sz w:val="22"/>
                <w:szCs w:val="22"/>
                <w14:ligatures w14:val="standardContextual"/>
              </w:rPr>
              <w:t xml:space="preserve"> </w:t>
            </w:r>
          </w:p>
          <w:p w14:paraId="0C124C16" w14:textId="1F2F0078" w:rsidR="00F74847" w:rsidRPr="000F779A" w:rsidRDefault="00F74847" w:rsidP="0057222B">
            <w:pPr>
              <w:kinsoku w:val="0"/>
              <w:overflowPunct w:val="0"/>
              <w:autoSpaceDE w:val="0"/>
              <w:autoSpaceDN w:val="0"/>
              <w:adjustRightInd w:val="0"/>
              <w:spacing w:before="2"/>
              <w:ind w:left="116" w:right="110" w:firstLine="5"/>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440.230(e)(l)(i)</w:t>
            </w:r>
          </w:p>
        </w:tc>
      </w:tr>
      <w:tr w:rsidR="00F74847" w:rsidRPr="000F779A" w14:paraId="03C64120" w14:textId="77777777" w:rsidTr="00EC5671">
        <w:trPr>
          <w:trHeight w:val="1375"/>
          <w:jc w:val="center"/>
        </w:trPr>
        <w:tc>
          <w:tcPr>
            <w:tcW w:w="3235" w:type="dxa"/>
          </w:tcPr>
          <w:p w14:paraId="02DCFE44" w14:textId="599D6090" w:rsidR="00F74847" w:rsidRPr="000F779A" w:rsidRDefault="00F74847" w:rsidP="00F74847">
            <w:pPr>
              <w:kinsoku w:val="0"/>
              <w:overflowPunct w:val="0"/>
              <w:autoSpaceDE w:val="0"/>
              <w:autoSpaceDN w:val="0"/>
              <w:adjustRightInd w:val="0"/>
              <w:spacing w:before="5"/>
              <w:ind w:left="113"/>
              <w:rPr>
                <w:rFonts w:asciiTheme="minorHAnsi" w:eastAsiaTheme="minorHAnsi" w:hAnsiTheme="minorHAnsi" w:cstheme="minorHAnsi"/>
                <w:spacing w:val="-2"/>
                <w:w w:val="105"/>
                <w:sz w:val="22"/>
                <w:szCs w:val="22"/>
                <w14:ligatures w14:val="standardContextual"/>
              </w:rPr>
            </w:pPr>
            <w:r w:rsidRPr="000F779A">
              <w:rPr>
                <w:rFonts w:asciiTheme="minorHAnsi" w:eastAsiaTheme="minorHAnsi" w:hAnsiTheme="minorHAnsi" w:cstheme="minorHAnsi"/>
                <w:spacing w:val="-2"/>
                <w:w w:val="105"/>
                <w:sz w:val="22"/>
                <w:szCs w:val="22"/>
                <w14:ligatures w14:val="standardContextual"/>
              </w:rPr>
              <w:t>CHIP</w:t>
            </w:r>
            <w:r w:rsidR="000F51FA" w:rsidRPr="000F779A">
              <w:rPr>
                <w:rFonts w:asciiTheme="minorHAnsi" w:eastAsiaTheme="minorHAnsi" w:hAnsiTheme="minorHAnsi" w:cstheme="minorHAnsi"/>
                <w:spacing w:val="-2"/>
                <w:w w:val="105"/>
                <w:sz w:val="22"/>
                <w:szCs w:val="22"/>
                <w14:ligatures w14:val="standardContextual"/>
              </w:rPr>
              <w:t xml:space="preserve"> </w:t>
            </w:r>
            <w:r w:rsidRPr="000F779A">
              <w:rPr>
                <w:rFonts w:asciiTheme="minorHAnsi" w:eastAsiaTheme="minorHAnsi" w:hAnsiTheme="minorHAnsi" w:cstheme="minorHAnsi"/>
                <w:spacing w:val="-2"/>
                <w:w w:val="105"/>
                <w:sz w:val="22"/>
                <w:szCs w:val="22"/>
                <w14:ligatures w14:val="standardContextual"/>
              </w:rPr>
              <w:t>FFS</w:t>
            </w:r>
          </w:p>
        </w:tc>
        <w:tc>
          <w:tcPr>
            <w:tcW w:w="4682" w:type="dxa"/>
          </w:tcPr>
          <w:p w14:paraId="3903C5EF" w14:textId="77777777" w:rsidR="00E60093" w:rsidRPr="000F779A" w:rsidRDefault="00F74847" w:rsidP="00E60093">
            <w:pPr>
              <w:kinsoku w:val="0"/>
              <w:overflowPunct w:val="0"/>
              <w:autoSpaceDE w:val="0"/>
              <w:autoSpaceDN w:val="0"/>
              <w:adjustRightInd w:val="0"/>
              <w:spacing w:before="5"/>
              <w:ind w:left="113" w:right="125" w:firstLine="6"/>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In accordance with the medical needs of the patient, but no later than 72 hours after</w:t>
            </w:r>
            <w:r w:rsidRPr="000F779A">
              <w:rPr>
                <w:rFonts w:asciiTheme="minorHAnsi" w:eastAsiaTheme="minorHAnsi" w:hAnsiTheme="minorHAnsi" w:cstheme="minorHAnsi"/>
                <w:spacing w:val="-1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receiving</w:t>
            </w:r>
            <w:r w:rsidRPr="000F779A">
              <w:rPr>
                <w:rFonts w:asciiTheme="minorHAnsi" w:eastAsiaTheme="minorHAnsi" w:hAnsiTheme="minorHAnsi" w:cstheme="minorHAnsi"/>
                <w:spacing w:val="-5"/>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the</w:t>
            </w:r>
            <w:r w:rsidRPr="000F779A">
              <w:rPr>
                <w:rFonts w:asciiTheme="minorHAnsi" w:eastAsiaTheme="minorHAnsi" w:hAnsiTheme="minorHAnsi" w:cstheme="minorHAnsi"/>
                <w:spacing w:val="-1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request</w:t>
            </w:r>
            <w:r w:rsidRPr="000F779A">
              <w:rPr>
                <w:rFonts w:asciiTheme="minorHAnsi" w:eastAsiaTheme="minorHAnsi" w:hAnsiTheme="minorHAnsi" w:cstheme="minorHAnsi"/>
                <w:spacing w:val="-4"/>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for an expedited determination.</w:t>
            </w:r>
            <w:r w:rsidR="00E60093" w:rsidRPr="000F779A">
              <w:rPr>
                <w:rFonts w:asciiTheme="minorHAnsi" w:eastAsiaTheme="minorHAnsi" w:hAnsiTheme="minorHAnsi" w:cstheme="minorHAnsi"/>
                <w:sz w:val="22"/>
                <w:szCs w:val="22"/>
                <w14:ligatures w14:val="standardContextual"/>
              </w:rPr>
              <w:t xml:space="preserve"> </w:t>
            </w:r>
          </w:p>
          <w:p w14:paraId="41A7B3FD" w14:textId="2431AFBB" w:rsidR="00F74847" w:rsidRPr="000F779A" w:rsidRDefault="00F74847" w:rsidP="00E60093">
            <w:pPr>
              <w:kinsoku w:val="0"/>
              <w:overflowPunct w:val="0"/>
              <w:autoSpaceDE w:val="0"/>
              <w:autoSpaceDN w:val="0"/>
              <w:adjustRightInd w:val="0"/>
              <w:spacing w:before="5"/>
              <w:ind w:left="113" w:right="125" w:firstLine="6"/>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457.</w:t>
            </w:r>
            <w:r w:rsidR="00BA2840" w:rsidRPr="000F779A">
              <w:rPr>
                <w:rFonts w:asciiTheme="minorHAnsi" w:eastAsiaTheme="minorHAnsi" w:hAnsiTheme="minorHAnsi" w:cstheme="minorHAnsi"/>
                <w:sz w:val="22"/>
                <w:szCs w:val="22"/>
                <w14:ligatures w14:val="standardContextual"/>
              </w:rPr>
              <w:t>495(d)(1)</w:t>
            </w:r>
          </w:p>
        </w:tc>
        <w:tc>
          <w:tcPr>
            <w:tcW w:w="4683" w:type="dxa"/>
          </w:tcPr>
          <w:p w14:paraId="59B0C85A" w14:textId="77777777" w:rsidR="00F74847" w:rsidRPr="000F779A" w:rsidRDefault="00F74847" w:rsidP="00E60093">
            <w:pPr>
              <w:kinsoku w:val="0"/>
              <w:overflowPunct w:val="0"/>
              <w:autoSpaceDE w:val="0"/>
              <w:autoSpaceDN w:val="0"/>
              <w:adjustRightInd w:val="0"/>
              <w:spacing w:before="7" w:line="237" w:lineRule="auto"/>
              <w:ind w:left="115" w:right="267" w:firstLine="2"/>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In</w:t>
            </w:r>
            <w:r w:rsidRPr="000F779A">
              <w:rPr>
                <w:rFonts w:asciiTheme="minorHAnsi" w:eastAsiaTheme="minorHAnsi" w:hAnsiTheme="minorHAnsi" w:cstheme="minorHAnsi"/>
                <w:spacing w:val="-6"/>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accordance with</w:t>
            </w:r>
            <w:r w:rsidRPr="000F779A">
              <w:rPr>
                <w:rFonts w:asciiTheme="minorHAnsi" w:eastAsiaTheme="minorHAnsi" w:hAnsiTheme="minorHAnsi" w:cstheme="minorHAnsi"/>
                <w:spacing w:val="-10"/>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the</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medical</w:t>
            </w:r>
            <w:r w:rsidRPr="000F779A">
              <w:rPr>
                <w:rFonts w:asciiTheme="minorHAnsi" w:eastAsiaTheme="minorHAnsi" w:hAnsiTheme="minorHAnsi" w:cstheme="minorHAnsi"/>
                <w:spacing w:val="-5"/>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needs</w:t>
            </w:r>
            <w:r w:rsidRPr="000F779A">
              <w:rPr>
                <w:rFonts w:asciiTheme="minorHAnsi" w:eastAsiaTheme="minorHAnsi" w:hAnsiTheme="minorHAnsi" w:cstheme="minorHAnsi"/>
                <w:spacing w:val="-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of</w:t>
            </w:r>
            <w:r w:rsidRPr="000F779A">
              <w:rPr>
                <w:rFonts w:asciiTheme="minorHAnsi" w:eastAsiaTheme="minorHAnsi" w:hAnsiTheme="minorHAnsi" w:cstheme="minorHAnsi"/>
                <w:spacing w:val="-1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the</w:t>
            </w:r>
            <w:r w:rsidRPr="000F779A">
              <w:rPr>
                <w:rFonts w:asciiTheme="minorHAnsi" w:eastAsiaTheme="minorHAnsi" w:hAnsiTheme="minorHAnsi" w:cstheme="minorHAnsi"/>
                <w:spacing w:val="-6"/>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patient,</w:t>
            </w:r>
            <w:r w:rsidRPr="000F779A">
              <w:rPr>
                <w:rFonts w:asciiTheme="minorHAnsi" w:eastAsiaTheme="minorHAnsi" w:hAnsiTheme="minorHAnsi" w:cstheme="minorHAnsi"/>
                <w:spacing w:val="-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but no later than</w:t>
            </w:r>
            <w:r w:rsidRPr="000F779A">
              <w:rPr>
                <w:rFonts w:asciiTheme="minorHAnsi" w:eastAsiaTheme="minorHAnsi" w:hAnsiTheme="minorHAnsi" w:cstheme="minorHAnsi"/>
                <w:spacing w:val="-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7</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calendar days</w:t>
            </w:r>
            <w:r w:rsidRPr="000F779A">
              <w:rPr>
                <w:rFonts w:asciiTheme="minorHAnsi" w:eastAsiaTheme="minorHAnsi" w:hAnsiTheme="minorHAnsi" w:cstheme="minorHAnsi"/>
                <w:spacing w:val="-1"/>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after receiving the</w:t>
            </w:r>
            <w:r w:rsidRPr="000F779A">
              <w:rPr>
                <w:rFonts w:asciiTheme="minorHAnsi" w:eastAsiaTheme="minorHAnsi" w:hAnsiTheme="minorHAnsi" w:cstheme="minorHAnsi"/>
                <w:spacing w:val="-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request for a standard determination.</w:t>
            </w:r>
          </w:p>
          <w:p w14:paraId="6E02FD8F" w14:textId="77777777" w:rsidR="00F74847" w:rsidRPr="000F779A" w:rsidRDefault="00F74847" w:rsidP="00E60093">
            <w:pPr>
              <w:kinsoku w:val="0"/>
              <w:overflowPunct w:val="0"/>
              <w:autoSpaceDE w:val="0"/>
              <w:autoSpaceDN w:val="0"/>
              <w:adjustRightInd w:val="0"/>
              <w:spacing w:before="2"/>
              <w:ind w:left="114"/>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42 CFR 457.495(d)(l)</w:t>
            </w:r>
          </w:p>
        </w:tc>
      </w:tr>
    </w:tbl>
    <w:p w14:paraId="4B59FF72" w14:textId="6B7FF1CB" w:rsidR="00337FA8" w:rsidRPr="000F779A" w:rsidRDefault="003F3150" w:rsidP="003F3150">
      <w:pPr>
        <w:ind w:left="180"/>
        <w:rPr>
          <w:rFonts w:asciiTheme="minorHAnsi" w:hAnsiTheme="minorHAnsi" w:cstheme="minorHAnsi"/>
          <w:sz w:val="18"/>
          <w:szCs w:val="18"/>
        </w:rPr>
      </w:pPr>
      <w:r w:rsidRPr="000F779A">
        <w:rPr>
          <w:rFonts w:asciiTheme="minorHAnsi" w:hAnsiTheme="minorHAnsi" w:cstheme="minorHAnsi"/>
          <w:sz w:val="18"/>
          <w:szCs w:val="18"/>
        </w:rPr>
        <w:t>* Applicable</w:t>
      </w:r>
      <w:r w:rsidR="0019175B" w:rsidRPr="000F779A">
        <w:rPr>
          <w:rFonts w:asciiTheme="minorHAnsi" w:hAnsiTheme="minorHAnsi" w:cstheme="minorHAnsi"/>
          <w:sz w:val="18"/>
          <w:szCs w:val="18"/>
        </w:rPr>
        <w:t xml:space="preserve"> Integrated plans may have shorter timeframes as required by a state (42 CFR</w:t>
      </w:r>
      <w:r w:rsidR="008A5460" w:rsidRPr="000F779A">
        <w:rPr>
          <w:rFonts w:asciiTheme="minorHAnsi" w:hAnsiTheme="minorHAnsi" w:cstheme="minorHAnsi"/>
          <w:sz w:val="18"/>
          <w:szCs w:val="18"/>
        </w:rPr>
        <w:t xml:space="preserve"> 422.629(c) allows states to </w:t>
      </w:r>
      <w:r w:rsidR="00A019D6" w:rsidRPr="000F779A">
        <w:rPr>
          <w:rFonts w:asciiTheme="minorHAnsi" w:hAnsiTheme="minorHAnsi" w:cstheme="minorHAnsi"/>
          <w:sz w:val="18"/>
          <w:szCs w:val="18"/>
        </w:rPr>
        <w:t>implement shorter timeframes).</w:t>
      </w:r>
    </w:p>
    <w:p w14:paraId="2064D2C9" w14:textId="77777777" w:rsidR="0010205C" w:rsidRPr="000F779A" w:rsidRDefault="0010205C" w:rsidP="003F3150">
      <w:pPr>
        <w:ind w:left="180"/>
        <w:rPr>
          <w:rFonts w:asciiTheme="minorHAnsi" w:hAnsiTheme="minorHAnsi" w:cstheme="minorHAnsi"/>
          <w:sz w:val="22"/>
          <w:szCs w:val="22"/>
        </w:rPr>
      </w:pPr>
    </w:p>
    <w:p w14:paraId="62C7B1E4" w14:textId="77777777" w:rsidR="0010205C" w:rsidRPr="000F779A" w:rsidRDefault="0010205C" w:rsidP="003F3150">
      <w:pPr>
        <w:ind w:left="180"/>
        <w:rPr>
          <w:rFonts w:asciiTheme="minorHAnsi" w:hAnsiTheme="minorHAnsi" w:cstheme="minorHAnsi"/>
          <w:sz w:val="22"/>
          <w:szCs w:val="22"/>
        </w:rPr>
      </w:pPr>
    </w:p>
    <w:p w14:paraId="740545F5" w14:textId="7C04DAFC" w:rsidR="002603EC" w:rsidRPr="000F779A" w:rsidRDefault="00BB2BE3" w:rsidP="002603EC">
      <w:pPr>
        <w:ind w:left="180"/>
        <w:jc w:val="center"/>
        <w:rPr>
          <w:rFonts w:asciiTheme="minorHAnsi" w:hAnsiTheme="minorHAnsi" w:cstheme="minorHAnsi"/>
          <w:b/>
          <w:bCs/>
          <w:sz w:val="22"/>
          <w:szCs w:val="22"/>
        </w:rPr>
      </w:pPr>
      <w:r w:rsidRPr="000F779A">
        <w:rPr>
          <w:rFonts w:asciiTheme="minorHAnsi" w:hAnsiTheme="minorHAnsi" w:cstheme="minorHAnsi"/>
          <w:b/>
          <w:bCs/>
          <w:sz w:val="22"/>
          <w:szCs w:val="22"/>
        </w:rPr>
        <w:t>New or Modified Prior Authorization Notification Requirements</w:t>
      </w:r>
    </w:p>
    <w:p w14:paraId="2D96ADC8" w14:textId="4E4A76FB" w:rsidR="00307435" w:rsidRPr="000F779A" w:rsidRDefault="00307435" w:rsidP="002603EC">
      <w:pPr>
        <w:ind w:left="180"/>
        <w:jc w:val="center"/>
        <w:rPr>
          <w:rFonts w:asciiTheme="minorHAnsi" w:hAnsiTheme="minorHAnsi" w:cstheme="minorHAnsi"/>
          <w:b/>
          <w:bCs/>
          <w:sz w:val="22"/>
          <w:szCs w:val="22"/>
        </w:rPr>
      </w:pPr>
      <w:r w:rsidRPr="000F779A">
        <w:rPr>
          <w:rFonts w:asciiTheme="minorHAnsi" w:hAnsiTheme="minorHAnsi" w:cstheme="minorHAnsi"/>
          <w:b/>
          <w:bCs/>
          <w:sz w:val="22"/>
          <w:szCs w:val="22"/>
        </w:rPr>
        <w:t>(Table E2—Page 8888)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7"/>
        <w:gridCol w:w="4392"/>
        <w:gridCol w:w="3096"/>
      </w:tblGrid>
      <w:tr w:rsidR="00153E6F" w:rsidRPr="000F779A" w14:paraId="6162780A" w14:textId="77777777" w:rsidTr="00FD296D">
        <w:trPr>
          <w:trHeight w:val="451"/>
          <w:tblHeader/>
          <w:jc w:val="center"/>
        </w:trPr>
        <w:tc>
          <w:tcPr>
            <w:tcW w:w="2317" w:type="dxa"/>
            <w:shd w:val="clear" w:color="auto" w:fill="0070C0"/>
          </w:tcPr>
          <w:p w14:paraId="27A95BB1" w14:textId="5BC91BDF" w:rsidR="00153E6F" w:rsidRPr="000F779A" w:rsidRDefault="00CE2416" w:rsidP="002603EC">
            <w:pPr>
              <w:ind w:left="18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Impacted Payer</w:t>
            </w:r>
          </w:p>
        </w:tc>
        <w:tc>
          <w:tcPr>
            <w:tcW w:w="4392" w:type="dxa"/>
            <w:shd w:val="clear" w:color="auto" w:fill="0070C0"/>
          </w:tcPr>
          <w:p w14:paraId="272F4A34" w14:textId="490FF9D9" w:rsidR="00153E6F" w:rsidRPr="000F779A" w:rsidRDefault="00CE2416" w:rsidP="002603EC">
            <w:pPr>
              <w:ind w:left="18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Final</w:t>
            </w:r>
          </w:p>
        </w:tc>
        <w:tc>
          <w:tcPr>
            <w:tcW w:w="3096" w:type="dxa"/>
            <w:shd w:val="clear" w:color="auto" w:fill="0070C0"/>
          </w:tcPr>
          <w:p w14:paraId="5C3E6982" w14:textId="16E8D095" w:rsidR="00153E6F" w:rsidRPr="000F779A" w:rsidRDefault="00CE2416" w:rsidP="002603EC">
            <w:pPr>
              <w:ind w:left="18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CFR Citation</w:t>
            </w:r>
          </w:p>
        </w:tc>
      </w:tr>
      <w:tr w:rsidR="00153E6F" w:rsidRPr="000F779A" w14:paraId="3148DAD8" w14:textId="77777777" w:rsidTr="00FD296D">
        <w:trPr>
          <w:trHeight w:val="451"/>
          <w:jc w:val="center"/>
        </w:trPr>
        <w:tc>
          <w:tcPr>
            <w:tcW w:w="2317" w:type="dxa"/>
          </w:tcPr>
          <w:p w14:paraId="5481EE1A"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MA Organizations</w:t>
            </w:r>
          </w:p>
        </w:tc>
        <w:tc>
          <w:tcPr>
            <w:tcW w:w="4392" w:type="dxa"/>
          </w:tcPr>
          <w:p w14:paraId="17982B3F"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Notification Requirement to Enrollees</w:t>
            </w:r>
          </w:p>
        </w:tc>
        <w:tc>
          <w:tcPr>
            <w:tcW w:w="3096" w:type="dxa"/>
          </w:tcPr>
          <w:p w14:paraId="43BFD485"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42 CFR 422.568(b)(I)</w:t>
            </w:r>
          </w:p>
        </w:tc>
      </w:tr>
      <w:tr w:rsidR="00153E6F" w:rsidRPr="000F779A" w14:paraId="130BF7AE" w14:textId="77777777" w:rsidTr="00FD296D">
        <w:trPr>
          <w:trHeight w:val="461"/>
          <w:jc w:val="center"/>
        </w:trPr>
        <w:tc>
          <w:tcPr>
            <w:tcW w:w="2317" w:type="dxa"/>
          </w:tcPr>
          <w:p w14:paraId="530052DB"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Applicable Integrated Plans</w:t>
            </w:r>
          </w:p>
        </w:tc>
        <w:tc>
          <w:tcPr>
            <w:tcW w:w="4392" w:type="dxa"/>
          </w:tcPr>
          <w:p w14:paraId="4E7772D9" w14:textId="231DA386"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Notification Requirement to Enrollees</w:t>
            </w:r>
            <w:r w:rsidR="009D4A7E" w:rsidRPr="000F779A">
              <w:rPr>
                <w:rFonts w:asciiTheme="minorHAnsi" w:hAnsiTheme="minorHAnsi" w:cstheme="minorHAnsi"/>
                <w:sz w:val="22"/>
                <w:szCs w:val="22"/>
              </w:rPr>
              <w:t>—S</w:t>
            </w:r>
            <w:r w:rsidRPr="000F779A">
              <w:rPr>
                <w:rFonts w:asciiTheme="minorHAnsi" w:hAnsiTheme="minorHAnsi" w:cstheme="minorHAnsi"/>
                <w:sz w:val="22"/>
                <w:szCs w:val="22"/>
              </w:rPr>
              <w:t>tandard Decision</w:t>
            </w:r>
          </w:p>
        </w:tc>
        <w:tc>
          <w:tcPr>
            <w:tcW w:w="3096" w:type="dxa"/>
          </w:tcPr>
          <w:p w14:paraId="577DE01F" w14:textId="296D3ABC"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42 CFR 422.631(d)(2)(i)(B)</w:t>
            </w:r>
          </w:p>
        </w:tc>
      </w:tr>
      <w:tr w:rsidR="00153E6F" w:rsidRPr="000F779A" w14:paraId="521CD9F4" w14:textId="77777777" w:rsidTr="00FD296D">
        <w:trPr>
          <w:trHeight w:val="461"/>
          <w:jc w:val="center"/>
        </w:trPr>
        <w:tc>
          <w:tcPr>
            <w:tcW w:w="2317" w:type="dxa"/>
          </w:tcPr>
          <w:p w14:paraId="4D298FB3"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lastRenderedPageBreak/>
              <w:t>Applicable Integrated Plans</w:t>
            </w:r>
          </w:p>
        </w:tc>
        <w:tc>
          <w:tcPr>
            <w:tcW w:w="4392" w:type="dxa"/>
          </w:tcPr>
          <w:p w14:paraId="4E7A966D" w14:textId="0825F1AC"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Notification Requirement to Enrollees</w:t>
            </w:r>
            <w:r w:rsidR="00A13853" w:rsidRPr="000F779A">
              <w:rPr>
                <w:rFonts w:asciiTheme="minorHAnsi" w:hAnsiTheme="minorHAnsi" w:cstheme="minorHAnsi"/>
                <w:sz w:val="22"/>
                <w:szCs w:val="22"/>
              </w:rPr>
              <w:t>—E</w:t>
            </w:r>
            <w:r w:rsidR="006C6EAB" w:rsidRPr="000F779A">
              <w:rPr>
                <w:rFonts w:asciiTheme="minorHAnsi" w:hAnsiTheme="minorHAnsi" w:cstheme="minorHAnsi"/>
                <w:sz w:val="22"/>
                <w:szCs w:val="22"/>
              </w:rPr>
              <w:t>x</w:t>
            </w:r>
            <w:r w:rsidRPr="000F779A">
              <w:rPr>
                <w:rFonts w:asciiTheme="minorHAnsi" w:hAnsiTheme="minorHAnsi" w:cstheme="minorHAnsi"/>
                <w:sz w:val="22"/>
                <w:szCs w:val="22"/>
              </w:rPr>
              <w:t>pedited Decision</w:t>
            </w:r>
          </w:p>
        </w:tc>
        <w:tc>
          <w:tcPr>
            <w:tcW w:w="3096" w:type="dxa"/>
          </w:tcPr>
          <w:p w14:paraId="4FE9A99D" w14:textId="1ACF9AAA"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42 CFR 422.631</w:t>
            </w:r>
            <w:r w:rsidR="006C6EAB" w:rsidRPr="000F779A">
              <w:rPr>
                <w:rFonts w:asciiTheme="minorHAnsi" w:hAnsiTheme="minorHAnsi" w:cstheme="minorHAnsi"/>
                <w:sz w:val="22"/>
                <w:szCs w:val="22"/>
              </w:rPr>
              <w:t>(</w:t>
            </w:r>
            <w:r w:rsidRPr="000F779A">
              <w:rPr>
                <w:rFonts w:asciiTheme="minorHAnsi" w:hAnsiTheme="minorHAnsi" w:cstheme="minorHAnsi"/>
                <w:sz w:val="22"/>
                <w:szCs w:val="22"/>
              </w:rPr>
              <w:t>d)(2)(iv)</w:t>
            </w:r>
          </w:p>
        </w:tc>
      </w:tr>
      <w:tr w:rsidR="00153E6F" w:rsidRPr="000F779A" w14:paraId="59D07177" w14:textId="77777777" w:rsidTr="00FD296D">
        <w:trPr>
          <w:trHeight w:val="461"/>
          <w:jc w:val="center"/>
        </w:trPr>
        <w:tc>
          <w:tcPr>
            <w:tcW w:w="2317" w:type="dxa"/>
          </w:tcPr>
          <w:p w14:paraId="37E25163"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Medicaid FFS</w:t>
            </w:r>
          </w:p>
        </w:tc>
        <w:tc>
          <w:tcPr>
            <w:tcW w:w="4392" w:type="dxa"/>
          </w:tcPr>
          <w:p w14:paraId="00592473" w14:textId="660F7A94"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Notice to Providers of Decisions on Expedited and Standard Prior Authorization Re</w:t>
            </w:r>
            <w:r w:rsidR="006C6EAB" w:rsidRPr="000F779A">
              <w:rPr>
                <w:rFonts w:asciiTheme="minorHAnsi" w:hAnsiTheme="minorHAnsi" w:cstheme="minorHAnsi"/>
                <w:sz w:val="22"/>
                <w:szCs w:val="22"/>
              </w:rPr>
              <w:t>q</w:t>
            </w:r>
            <w:r w:rsidRPr="000F779A">
              <w:rPr>
                <w:rFonts w:asciiTheme="minorHAnsi" w:hAnsiTheme="minorHAnsi" w:cstheme="minorHAnsi"/>
                <w:sz w:val="22"/>
                <w:szCs w:val="22"/>
              </w:rPr>
              <w:t>uests</w:t>
            </w:r>
          </w:p>
        </w:tc>
        <w:tc>
          <w:tcPr>
            <w:tcW w:w="3096" w:type="dxa"/>
          </w:tcPr>
          <w:p w14:paraId="76D80F50"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42 CFR 440.230(e)(l)</w:t>
            </w:r>
          </w:p>
        </w:tc>
      </w:tr>
      <w:tr w:rsidR="00153E6F" w:rsidRPr="000F779A" w14:paraId="41C13F40" w14:textId="77777777" w:rsidTr="00FD296D">
        <w:trPr>
          <w:trHeight w:val="453"/>
          <w:jc w:val="center"/>
        </w:trPr>
        <w:tc>
          <w:tcPr>
            <w:tcW w:w="2317" w:type="dxa"/>
          </w:tcPr>
          <w:p w14:paraId="2C9DBEC5" w14:textId="50DDE5D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Medicaid Managed</w:t>
            </w:r>
            <w:r w:rsidR="006C6EAB" w:rsidRPr="000F779A">
              <w:rPr>
                <w:rFonts w:asciiTheme="minorHAnsi" w:hAnsiTheme="minorHAnsi" w:cstheme="minorHAnsi"/>
                <w:sz w:val="22"/>
                <w:szCs w:val="22"/>
              </w:rPr>
              <w:t xml:space="preserve"> </w:t>
            </w:r>
            <w:r w:rsidRPr="000F779A">
              <w:rPr>
                <w:rFonts w:asciiTheme="minorHAnsi" w:hAnsiTheme="minorHAnsi" w:cstheme="minorHAnsi"/>
                <w:sz w:val="22"/>
                <w:szCs w:val="22"/>
              </w:rPr>
              <w:t>Care Plans</w:t>
            </w:r>
          </w:p>
        </w:tc>
        <w:tc>
          <w:tcPr>
            <w:tcW w:w="4392" w:type="dxa"/>
          </w:tcPr>
          <w:p w14:paraId="3AAC4B8E"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Standard Prior Authorization Decision Notification</w:t>
            </w:r>
          </w:p>
        </w:tc>
        <w:tc>
          <w:tcPr>
            <w:tcW w:w="3096" w:type="dxa"/>
          </w:tcPr>
          <w:p w14:paraId="7EDB6511"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42 CFR 438.210(d)(l)(i)</w:t>
            </w:r>
          </w:p>
        </w:tc>
      </w:tr>
      <w:tr w:rsidR="00153E6F" w:rsidRPr="000F779A" w14:paraId="291E7A1E" w14:textId="77777777" w:rsidTr="00FD296D">
        <w:trPr>
          <w:trHeight w:val="450"/>
          <w:jc w:val="center"/>
        </w:trPr>
        <w:tc>
          <w:tcPr>
            <w:tcW w:w="2317" w:type="dxa"/>
          </w:tcPr>
          <w:p w14:paraId="2DA460AE"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Medicaid Managed Care Plans</w:t>
            </w:r>
          </w:p>
        </w:tc>
        <w:tc>
          <w:tcPr>
            <w:tcW w:w="4392" w:type="dxa"/>
          </w:tcPr>
          <w:p w14:paraId="161DB24E"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Expedited Prior Authorization Decision Notification</w:t>
            </w:r>
          </w:p>
        </w:tc>
        <w:tc>
          <w:tcPr>
            <w:tcW w:w="3096" w:type="dxa"/>
          </w:tcPr>
          <w:p w14:paraId="0C4E0B91"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42 CFR 438.210(d)(2)(i)</w:t>
            </w:r>
          </w:p>
        </w:tc>
      </w:tr>
      <w:tr w:rsidR="00153E6F" w:rsidRPr="000F779A" w14:paraId="4B4CDCED" w14:textId="77777777" w:rsidTr="00FD296D">
        <w:trPr>
          <w:trHeight w:val="677"/>
          <w:jc w:val="center"/>
        </w:trPr>
        <w:tc>
          <w:tcPr>
            <w:tcW w:w="2317" w:type="dxa"/>
          </w:tcPr>
          <w:p w14:paraId="113F8C78"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CHIP Managed Care Entities</w:t>
            </w:r>
          </w:p>
        </w:tc>
        <w:tc>
          <w:tcPr>
            <w:tcW w:w="4392" w:type="dxa"/>
          </w:tcPr>
          <w:p w14:paraId="4DFC9A94"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Prior Authorization Decisions</w:t>
            </w:r>
          </w:p>
        </w:tc>
        <w:tc>
          <w:tcPr>
            <w:tcW w:w="3096" w:type="dxa"/>
          </w:tcPr>
          <w:p w14:paraId="6EC30870"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Through cross reference to 42</w:t>
            </w:r>
          </w:p>
          <w:p w14:paraId="4B27A760"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CFR438.210 at42 CFR 457.1230 d</w:t>
            </w:r>
          </w:p>
        </w:tc>
      </w:tr>
      <w:tr w:rsidR="00153E6F" w:rsidRPr="000F779A" w14:paraId="4B3EF6F7" w14:textId="77777777" w:rsidTr="00FD296D">
        <w:trPr>
          <w:trHeight w:val="460"/>
          <w:jc w:val="center"/>
        </w:trPr>
        <w:tc>
          <w:tcPr>
            <w:tcW w:w="2317" w:type="dxa"/>
          </w:tcPr>
          <w:p w14:paraId="5EC43BC6" w14:textId="7317571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CHIP</w:t>
            </w:r>
            <w:r w:rsidR="003D4B1F" w:rsidRPr="000F779A">
              <w:rPr>
                <w:rFonts w:asciiTheme="minorHAnsi" w:hAnsiTheme="minorHAnsi" w:cstheme="minorHAnsi"/>
                <w:sz w:val="22"/>
                <w:szCs w:val="22"/>
              </w:rPr>
              <w:t xml:space="preserve"> </w:t>
            </w:r>
            <w:r w:rsidRPr="000F779A">
              <w:rPr>
                <w:rFonts w:asciiTheme="minorHAnsi" w:hAnsiTheme="minorHAnsi" w:cstheme="minorHAnsi"/>
                <w:sz w:val="22"/>
                <w:szCs w:val="22"/>
              </w:rPr>
              <w:t>FFS</w:t>
            </w:r>
          </w:p>
        </w:tc>
        <w:tc>
          <w:tcPr>
            <w:tcW w:w="4392" w:type="dxa"/>
          </w:tcPr>
          <w:p w14:paraId="2936064E"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Prior Authorization Decisions</w:t>
            </w:r>
          </w:p>
        </w:tc>
        <w:tc>
          <w:tcPr>
            <w:tcW w:w="3096" w:type="dxa"/>
          </w:tcPr>
          <w:p w14:paraId="189C9CFB" w14:textId="77777777" w:rsidR="00153E6F" w:rsidRPr="000F779A" w:rsidRDefault="00153E6F" w:rsidP="00153E6F">
            <w:pPr>
              <w:ind w:left="180"/>
              <w:rPr>
                <w:rFonts w:asciiTheme="minorHAnsi" w:hAnsiTheme="minorHAnsi" w:cstheme="minorHAnsi"/>
                <w:sz w:val="22"/>
                <w:szCs w:val="22"/>
              </w:rPr>
            </w:pPr>
            <w:r w:rsidRPr="000F779A">
              <w:rPr>
                <w:rFonts w:asciiTheme="minorHAnsi" w:hAnsiTheme="minorHAnsi" w:cstheme="minorHAnsi"/>
                <w:sz w:val="22"/>
                <w:szCs w:val="22"/>
              </w:rPr>
              <w:t>42 CFR 457.495(d)(l)</w:t>
            </w:r>
          </w:p>
        </w:tc>
      </w:tr>
    </w:tbl>
    <w:p w14:paraId="58EB28E9" w14:textId="77777777" w:rsidR="0010205C" w:rsidRPr="000F779A" w:rsidRDefault="0010205C" w:rsidP="003F3150">
      <w:pPr>
        <w:ind w:left="180"/>
        <w:rPr>
          <w:rFonts w:asciiTheme="minorHAnsi" w:hAnsiTheme="minorHAnsi" w:cstheme="minorHAnsi"/>
          <w:sz w:val="22"/>
          <w:szCs w:val="22"/>
        </w:rPr>
      </w:pPr>
    </w:p>
    <w:p w14:paraId="3B31730C" w14:textId="77777777" w:rsidR="003D4B1F" w:rsidRPr="000F779A" w:rsidRDefault="003D4B1F" w:rsidP="003F3150">
      <w:pPr>
        <w:ind w:left="180"/>
        <w:rPr>
          <w:rFonts w:asciiTheme="minorHAnsi" w:hAnsiTheme="minorHAnsi" w:cstheme="minorHAnsi"/>
          <w:sz w:val="22"/>
          <w:szCs w:val="22"/>
        </w:rPr>
      </w:pPr>
    </w:p>
    <w:p w14:paraId="0AA21E42" w14:textId="4A2DE589" w:rsidR="007D7615" w:rsidRPr="000F779A" w:rsidRDefault="007D7615" w:rsidP="00FD296D">
      <w:pPr>
        <w:jc w:val="center"/>
        <w:rPr>
          <w:rFonts w:asciiTheme="minorHAnsi" w:hAnsiTheme="minorHAnsi" w:cstheme="minorHAnsi"/>
          <w:b/>
          <w:bCs/>
          <w:sz w:val="22"/>
          <w:szCs w:val="22"/>
        </w:rPr>
      </w:pPr>
      <w:r w:rsidRPr="000F779A">
        <w:rPr>
          <w:rFonts w:asciiTheme="minorHAnsi" w:hAnsiTheme="minorHAnsi" w:cstheme="minorHAnsi"/>
          <w:b/>
          <w:bCs/>
          <w:sz w:val="22"/>
          <w:szCs w:val="22"/>
        </w:rPr>
        <w:t>Improving Prior Authorizatio</w:t>
      </w:r>
      <w:r w:rsidR="001128D6" w:rsidRPr="000F779A">
        <w:rPr>
          <w:rFonts w:asciiTheme="minorHAnsi" w:hAnsiTheme="minorHAnsi" w:cstheme="minorHAnsi"/>
          <w:b/>
          <w:bCs/>
          <w:sz w:val="22"/>
          <w:szCs w:val="22"/>
        </w:rPr>
        <w:t>n</w:t>
      </w:r>
      <w:r w:rsidRPr="000F779A">
        <w:rPr>
          <w:rFonts w:asciiTheme="minorHAnsi" w:hAnsiTheme="minorHAnsi" w:cstheme="minorHAnsi"/>
          <w:b/>
          <w:bCs/>
          <w:sz w:val="22"/>
          <w:szCs w:val="22"/>
        </w:rPr>
        <w:t xml:space="preserve"> Processes Final Policies</w:t>
      </w:r>
    </w:p>
    <w:p w14:paraId="7413BDA6" w14:textId="3C0DCC84" w:rsidR="00B23908" w:rsidRPr="000F779A" w:rsidRDefault="00F92BAC" w:rsidP="00B23908">
      <w:pPr>
        <w:jc w:val="center"/>
        <w:rPr>
          <w:rFonts w:asciiTheme="minorHAnsi" w:hAnsiTheme="minorHAnsi" w:cstheme="minorHAnsi"/>
          <w:b/>
          <w:bCs/>
          <w:sz w:val="22"/>
          <w:szCs w:val="22"/>
        </w:rPr>
      </w:pPr>
      <w:r w:rsidRPr="000F779A">
        <w:rPr>
          <w:rFonts w:asciiTheme="minorHAnsi" w:hAnsiTheme="minorHAnsi" w:cstheme="minorHAnsi"/>
          <w:b/>
          <w:bCs/>
          <w:sz w:val="22"/>
          <w:szCs w:val="22"/>
        </w:rPr>
        <w:t>(</w:t>
      </w:r>
      <w:r w:rsidR="000E45FC" w:rsidRPr="000F779A">
        <w:rPr>
          <w:rFonts w:asciiTheme="minorHAnsi" w:hAnsiTheme="minorHAnsi" w:cstheme="minorHAnsi"/>
          <w:b/>
          <w:bCs/>
          <w:sz w:val="22"/>
          <w:szCs w:val="22"/>
        </w:rPr>
        <w:t xml:space="preserve">Table E4—Page </w:t>
      </w:r>
      <w:r w:rsidR="00FA509E" w:rsidRPr="000F779A">
        <w:rPr>
          <w:rFonts w:asciiTheme="minorHAnsi" w:hAnsiTheme="minorHAnsi" w:cstheme="minorHAnsi"/>
          <w:b/>
          <w:bCs/>
          <w:sz w:val="22"/>
          <w:szCs w:val="22"/>
        </w:rPr>
        <w:t>8895)</w:t>
      </w:r>
    </w:p>
    <w:tbl>
      <w:tblPr>
        <w:tblStyle w:val="TableGrid"/>
        <w:tblW w:w="12780" w:type="dxa"/>
        <w:tblInd w:w="-275" w:type="dxa"/>
        <w:tblLayout w:type="fixed"/>
        <w:tblLook w:val="04A0" w:firstRow="1" w:lastRow="0" w:firstColumn="1" w:lastColumn="0" w:noHBand="0" w:noVBand="1"/>
      </w:tblPr>
      <w:tblGrid>
        <w:gridCol w:w="2130"/>
        <w:gridCol w:w="2130"/>
        <w:gridCol w:w="2130"/>
        <w:gridCol w:w="2130"/>
        <w:gridCol w:w="2130"/>
        <w:gridCol w:w="2130"/>
      </w:tblGrid>
      <w:tr w:rsidR="005B058D" w:rsidRPr="000F779A" w14:paraId="7B65C59D" w14:textId="77777777" w:rsidTr="003E2BFF">
        <w:trPr>
          <w:tblHeader/>
        </w:trPr>
        <w:tc>
          <w:tcPr>
            <w:tcW w:w="2130" w:type="dxa"/>
            <w:shd w:val="clear" w:color="auto" w:fill="0070C0"/>
          </w:tcPr>
          <w:p w14:paraId="61475B46" w14:textId="77777777" w:rsidR="005B058D" w:rsidRPr="000F779A" w:rsidRDefault="005B058D" w:rsidP="0049203E">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Requirement</w:t>
            </w:r>
          </w:p>
        </w:tc>
        <w:tc>
          <w:tcPr>
            <w:tcW w:w="2130" w:type="dxa"/>
            <w:shd w:val="clear" w:color="auto" w:fill="0070C0"/>
          </w:tcPr>
          <w:p w14:paraId="73918E91" w14:textId="54838E88" w:rsidR="005B058D" w:rsidRPr="000F779A" w:rsidRDefault="009D3BE5" w:rsidP="003E2BFF">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Medicare Advantage</w:t>
            </w:r>
          </w:p>
        </w:tc>
        <w:tc>
          <w:tcPr>
            <w:tcW w:w="2130" w:type="dxa"/>
            <w:shd w:val="clear" w:color="auto" w:fill="0070C0"/>
          </w:tcPr>
          <w:p w14:paraId="098574CF" w14:textId="511A2886" w:rsidR="005B058D" w:rsidRPr="000F779A" w:rsidRDefault="005B058D" w:rsidP="003E2BFF">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FFS</w:t>
            </w:r>
          </w:p>
        </w:tc>
        <w:tc>
          <w:tcPr>
            <w:tcW w:w="2130" w:type="dxa"/>
            <w:shd w:val="clear" w:color="auto" w:fill="0070C0"/>
          </w:tcPr>
          <w:p w14:paraId="5FDEDDA6" w14:textId="77777777" w:rsidR="005B058D" w:rsidRPr="000F779A" w:rsidRDefault="005B058D" w:rsidP="003E2BFF">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Medicaid Managed Care</w:t>
            </w:r>
          </w:p>
        </w:tc>
        <w:tc>
          <w:tcPr>
            <w:tcW w:w="2130" w:type="dxa"/>
            <w:shd w:val="clear" w:color="auto" w:fill="0070C0"/>
          </w:tcPr>
          <w:p w14:paraId="03EA08D8" w14:textId="77777777" w:rsidR="005B058D" w:rsidRPr="000F779A" w:rsidRDefault="005B058D" w:rsidP="003E2BFF">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FFS</w:t>
            </w:r>
          </w:p>
        </w:tc>
        <w:tc>
          <w:tcPr>
            <w:tcW w:w="2130" w:type="dxa"/>
            <w:shd w:val="clear" w:color="auto" w:fill="0070C0"/>
          </w:tcPr>
          <w:p w14:paraId="4461EA49" w14:textId="77777777" w:rsidR="005B058D" w:rsidRPr="000F779A" w:rsidRDefault="005B058D" w:rsidP="003E2BFF">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CHIP Managed Care</w:t>
            </w:r>
          </w:p>
        </w:tc>
      </w:tr>
      <w:tr w:rsidR="005B058D" w:rsidRPr="000F779A" w14:paraId="254F2F55" w14:textId="77777777" w:rsidTr="003E2BFF">
        <w:tc>
          <w:tcPr>
            <w:tcW w:w="2130" w:type="dxa"/>
            <w:shd w:val="clear" w:color="auto" w:fill="FFFFFF" w:themeFill="background1"/>
          </w:tcPr>
          <w:p w14:paraId="0A5B02BD" w14:textId="2D50BEBD"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t>Prior Authorization API (compliance date January 1, 2027)</w:t>
            </w:r>
          </w:p>
        </w:tc>
        <w:tc>
          <w:tcPr>
            <w:tcW w:w="2130" w:type="dxa"/>
            <w:shd w:val="clear" w:color="auto" w:fill="FFFFFF" w:themeFill="background1"/>
          </w:tcPr>
          <w:p w14:paraId="49DA0B9E" w14:textId="4214098A" w:rsidR="005B058D" w:rsidRPr="000F779A" w:rsidRDefault="001C1D36"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w:t>
            </w:r>
            <w:r w:rsidR="00B61210" w:rsidRPr="000F779A">
              <w:rPr>
                <w:rFonts w:asciiTheme="minorHAnsi" w:hAnsiTheme="minorHAnsi" w:cstheme="minorHAnsi"/>
                <w:sz w:val="22"/>
                <w:szCs w:val="22"/>
              </w:rPr>
              <w:t xml:space="preserve"> 422.122(b)</w:t>
            </w:r>
          </w:p>
        </w:tc>
        <w:tc>
          <w:tcPr>
            <w:tcW w:w="2130" w:type="dxa"/>
            <w:shd w:val="clear" w:color="auto" w:fill="FFFFFF" w:themeFill="background1"/>
          </w:tcPr>
          <w:p w14:paraId="6084B2F2" w14:textId="4AEEE528"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431.80(b)</w:t>
            </w:r>
          </w:p>
        </w:tc>
        <w:tc>
          <w:tcPr>
            <w:tcW w:w="2130" w:type="dxa"/>
            <w:shd w:val="clear" w:color="auto" w:fill="FFFFFF" w:themeFill="background1"/>
          </w:tcPr>
          <w:p w14:paraId="5DD1E726" w14:textId="658254F2"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431.80(b) at 42 CFR 438.242 (b)(7)</w:t>
            </w:r>
          </w:p>
        </w:tc>
        <w:tc>
          <w:tcPr>
            <w:tcW w:w="2130" w:type="dxa"/>
            <w:shd w:val="clear" w:color="auto" w:fill="FFFFFF" w:themeFill="background1"/>
          </w:tcPr>
          <w:p w14:paraId="589D7299" w14:textId="633151B5"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457.732(b)</w:t>
            </w:r>
          </w:p>
        </w:tc>
        <w:tc>
          <w:tcPr>
            <w:tcW w:w="2130" w:type="dxa"/>
            <w:vMerge w:val="restart"/>
            <w:shd w:val="clear" w:color="auto" w:fill="FFFFFF" w:themeFill="background1"/>
            <w:vAlign w:val="center"/>
          </w:tcPr>
          <w:p w14:paraId="2B423099" w14:textId="4A8554BF"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existing cross reference to 42 CFR 438.242 at 42 CFR 457.1233(d)</w:t>
            </w:r>
          </w:p>
        </w:tc>
      </w:tr>
      <w:tr w:rsidR="005B058D" w:rsidRPr="000F779A" w14:paraId="78DCD2D7" w14:textId="77777777" w:rsidTr="003E2BFF">
        <w:tc>
          <w:tcPr>
            <w:tcW w:w="2130" w:type="dxa"/>
            <w:shd w:val="clear" w:color="auto" w:fill="FFFFFF" w:themeFill="background1"/>
          </w:tcPr>
          <w:p w14:paraId="3F69B0A7" w14:textId="16D35B32"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t>Information about the status of prior authorization (compliance date January 1, 2027)</w:t>
            </w:r>
          </w:p>
        </w:tc>
        <w:tc>
          <w:tcPr>
            <w:tcW w:w="2130" w:type="dxa"/>
            <w:shd w:val="clear" w:color="auto" w:fill="FFFFFF" w:themeFill="background1"/>
          </w:tcPr>
          <w:p w14:paraId="2F546B54" w14:textId="469B7E87" w:rsidR="005B058D" w:rsidRPr="000F779A" w:rsidRDefault="00B61210"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422.122(b)(4)</w:t>
            </w:r>
          </w:p>
        </w:tc>
        <w:tc>
          <w:tcPr>
            <w:tcW w:w="2130" w:type="dxa"/>
            <w:shd w:val="clear" w:color="auto" w:fill="FFFFFF" w:themeFill="background1"/>
          </w:tcPr>
          <w:p w14:paraId="54AAD1EE" w14:textId="2F00088A"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431.80(b)(4)</w:t>
            </w:r>
          </w:p>
        </w:tc>
        <w:tc>
          <w:tcPr>
            <w:tcW w:w="2130" w:type="dxa"/>
            <w:shd w:val="clear" w:color="auto" w:fill="FFFFFF" w:themeFill="background1"/>
          </w:tcPr>
          <w:p w14:paraId="38447A71" w14:textId="1B0537A2"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431.80(b) at 42 CFR 438.242 (b)(7)</w:t>
            </w:r>
          </w:p>
        </w:tc>
        <w:tc>
          <w:tcPr>
            <w:tcW w:w="2130" w:type="dxa"/>
            <w:shd w:val="clear" w:color="auto" w:fill="FFFFFF" w:themeFill="background1"/>
          </w:tcPr>
          <w:p w14:paraId="361A18DE" w14:textId="2EA14193"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457.732(b)(4)</w:t>
            </w:r>
          </w:p>
        </w:tc>
        <w:tc>
          <w:tcPr>
            <w:tcW w:w="2130" w:type="dxa"/>
            <w:vMerge/>
            <w:shd w:val="clear" w:color="auto" w:fill="FFFFFF" w:themeFill="background1"/>
            <w:vAlign w:val="center"/>
          </w:tcPr>
          <w:p w14:paraId="2238D1FE" w14:textId="77777777" w:rsidR="005B058D" w:rsidRPr="000F779A" w:rsidRDefault="005B058D" w:rsidP="003E2BFF">
            <w:pPr>
              <w:spacing w:before="40" w:after="40"/>
              <w:jc w:val="center"/>
              <w:rPr>
                <w:rFonts w:asciiTheme="minorHAnsi" w:hAnsiTheme="minorHAnsi" w:cstheme="minorHAnsi"/>
                <w:sz w:val="22"/>
                <w:szCs w:val="22"/>
              </w:rPr>
            </w:pPr>
          </w:p>
        </w:tc>
      </w:tr>
      <w:tr w:rsidR="005B058D" w:rsidRPr="000F779A" w14:paraId="249BB2EF" w14:textId="77777777" w:rsidTr="003E2BFF">
        <w:tc>
          <w:tcPr>
            <w:tcW w:w="2130" w:type="dxa"/>
            <w:shd w:val="clear" w:color="auto" w:fill="FFFFFF" w:themeFill="background1"/>
          </w:tcPr>
          <w:p w14:paraId="653EA8A4" w14:textId="74C5E987"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lastRenderedPageBreak/>
              <w:t>Denial reason for prior authorization (compliance date January 1, 2026)</w:t>
            </w:r>
          </w:p>
        </w:tc>
        <w:tc>
          <w:tcPr>
            <w:tcW w:w="2130" w:type="dxa"/>
            <w:shd w:val="clear" w:color="auto" w:fill="FFFFFF" w:themeFill="background1"/>
          </w:tcPr>
          <w:p w14:paraId="75FCBF1A" w14:textId="416E9458" w:rsidR="005B058D" w:rsidRPr="000F779A" w:rsidRDefault="00B61210"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422.122(a)</w:t>
            </w:r>
          </w:p>
        </w:tc>
        <w:tc>
          <w:tcPr>
            <w:tcW w:w="2130" w:type="dxa"/>
            <w:shd w:val="clear" w:color="auto" w:fill="FFFFFF" w:themeFill="background1"/>
          </w:tcPr>
          <w:p w14:paraId="2FD88813" w14:textId="640D86E4"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431.80(a)</w:t>
            </w:r>
          </w:p>
        </w:tc>
        <w:tc>
          <w:tcPr>
            <w:tcW w:w="2130" w:type="dxa"/>
            <w:shd w:val="clear" w:color="auto" w:fill="FFFFFF" w:themeFill="background1"/>
          </w:tcPr>
          <w:p w14:paraId="20E91B58" w14:textId="191FC433"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431.80(a) at 42 CFR 438.242 (b)(8)</w:t>
            </w:r>
          </w:p>
        </w:tc>
        <w:tc>
          <w:tcPr>
            <w:tcW w:w="2130" w:type="dxa"/>
            <w:shd w:val="clear" w:color="auto" w:fill="FFFFFF" w:themeFill="background1"/>
          </w:tcPr>
          <w:p w14:paraId="29CABBAA" w14:textId="49E0F592"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457.732(a)</w:t>
            </w:r>
          </w:p>
        </w:tc>
        <w:tc>
          <w:tcPr>
            <w:tcW w:w="2130" w:type="dxa"/>
            <w:vMerge/>
            <w:shd w:val="clear" w:color="auto" w:fill="FFFFFF" w:themeFill="background1"/>
            <w:vAlign w:val="center"/>
          </w:tcPr>
          <w:p w14:paraId="618E212D" w14:textId="77777777" w:rsidR="005B058D" w:rsidRPr="000F779A" w:rsidRDefault="005B058D" w:rsidP="003E2BFF">
            <w:pPr>
              <w:spacing w:before="40" w:after="40"/>
              <w:jc w:val="center"/>
              <w:rPr>
                <w:rFonts w:asciiTheme="minorHAnsi" w:hAnsiTheme="minorHAnsi" w:cstheme="minorHAnsi"/>
                <w:sz w:val="22"/>
                <w:szCs w:val="22"/>
              </w:rPr>
            </w:pPr>
          </w:p>
        </w:tc>
      </w:tr>
      <w:tr w:rsidR="005B058D" w:rsidRPr="000F779A" w14:paraId="7BB14E3E" w14:textId="77777777" w:rsidTr="003E2BFF">
        <w:tc>
          <w:tcPr>
            <w:tcW w:w="2130" w:type="dxa"/>
            <w:shd w:val="clear" w:color="auto" w:fill="FFFFFF" w:themeFill="background1"/>
          </w:tcPr>
          <w:p w14:paraId="49599741" w14:textId="2F29FD6F"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t>Standard prior authorization timeframe (compliance date January 1, 2026)</w:t>
            </w:r>
          </w:p>
        </w:tc>
        <w:tc>
          <w:tcPr>
            <w:tcW w:w="2130" w:type="dxa"/>
            <w:shd w:val="clear" w:color="auto" w:fill="FFFFFF" w:themeFill="background1"/>
          </w:tcPr>
          <w:p w14:paraId="1EB3806E" w14:textId="12D86AF3" w:rsidR="005B058D" w:rsidRPr="000F779A" w:rsidRDefault="00BB2F33"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422.568(b)(1)</w:t>
            </w:r>
          </w:p>
        </w:tc>
        <w:tc>
          <w:tcPr>
            <w:tcW w:w="2130" w:type="dxa"/>
            <w:shd w:val="clear" w:color="auto" w:fill="FFFFFF" w:themeFill="background1"/>
          </w:tcPr>
          <w:p w14:paraId="0D0C64D2" w14:textId="7A1F52AC"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440.230(e)(1)(i)</w:t>
            </w:r>
          </w:p>
        </w:tc>
        <w:tc>
          <w:tcPr>
            <w:tcW w:w="2130" w:type="dxa"/>
            <w:shd w:val="clear" w:color="auto" w:fill="FFFFFF" w:themeFill="background1"/>
          </w:tcPr>
          <w:p w14:paraId="2F84755A" w14:textId="237D4FE1"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210(d)(1)</w:t>
            </w:r>
          </w:p>
        </w:tc>
        <w:tc>
          <w:tcPr>
            <w:tcW w:w="2130" w:type="dxa"/>
            <w:shd w:val="clear" w:color="auto" w:fill="FFFFFF" w:themeFill="background1"/>
          </w:tcPr>
          <w:p w14:paraId="0796C5DB" w14:textId="63AE5FD3"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457.495(d)(1)</w:t>
            </w:r>
          </w:p>
        </w:tc>
        <w:tc>
          <w:tcPr>
            <w:tcW w:w="2130" w:type="dxa"/>
            <w:shd w:val="clear" w:color="auto" w:fill="FFFFFF" w:themeFill="background1"/>
            <w:vAlign w:val="center"/>
          </w:tcPr>
          <w:p w14:paraId="3E3112F6" w14:textId="7CFD8727"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existing cross reference to 42 CFR 438.210 at 42 CFR 457.1230(d)</w:t>
            </w:r>
          </w:p>
        </w:tc>
      </w:tr>
      <w:tr w:rsidR="005B058D" w:rsidRPr="000F779A" w14:paraId="1D74BDCE" w14:textId="77777777" w:rsidTr="003E2BFF">
        <w:tc>
          <w:tcPr>
            <w:tcW w:w="2130" w:type="dxa"/>
            <w:shd w:val="clear" w:color="auto" w:fill="FFFFFF" w:themeFill="background1"/>
          </w:tcPr>
          <w:p w14:paraId="664DE514" w14:textId="54F8501A"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t>Expedited prior authorization timeframe (compliance date January 1, 2026)</w:t>
            </w:r>
          </w:p>
        </w:tc>
        <w:tc>
          <w:tcPr>
            <w:tcW w:w="2130" w:type="dxa"/>
            <w:shd w:val="clear" w:color="auto" w:fill="FFFFFF" w:themeFill="background1"/>
          </w:tcPr>
          <w:p w14:paraId="46664FCB" w14:textId="5E9D3842" w:rsidR="005B058D" w:rsidRPr="000F779A" w:rsidRDefault="00BB2F33"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 xml:space="preserve">No change to </w:t>
            </w:r>
            <w:r w:rsidR="00D7020E" w:rsidRPr="000F779A">
              <w:rPr>
                <w:rFonts w:asciiTheme="minorHAnsi" w:hAnsiTheme="minorHAnsi" w:cstheme="minorHAnsi"/>
                <w:sz w:val="22"/>
                <w:szCs w:val="22"/>
              </w:rPr>
              <w:t>existing</w:t>
            </w:r>
            <w:r w:rsidRPr="000F779A">
              <w:rPr>
                <w:rFonts w:asciiTheme="minorHAnsi" w:hAnsiTheme="minorHAnsi" w:cstheme="minorHAnsi"/>
                <w:sz w:val="22"/>
                <w:szCs w:val="22"/>
              </w:rPr>
              <w:t xml:space="preserve"> rules on the timing</w:t>
            </w:r>
            <w:r w:rsidR="00D7020E" w:rsidRPr="000F779A">
              <w:rPr>
                <w:rFonts w:asciiTheme="minorHAnsi" w:hAnsiTheme="minorHAnsi" w:cstheme="minorHAnsi"/>
                <w:sz w:val="22"/>
                <w:szCs w:val="22"/>
              </w:rPr>
              <w:t>.</w:t>
            </w:r>
          </w:p>
        </w:tc>
        <w:tc>
          <w:tcPr>
            <w:tcW w:w="2130" w:type="dxa"/>
            <w:shd w:val="clear" w:color="auto" w:fill="FFFFFF" w:themeFill="background1"/>
          </w:tcPr>
          <w:p w14:paraId="555A0AC7" w14:textId="4AA566D1"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440.230(e)(1)(ii)</w:t>
            </w:r>
          </w:p>
        </w:tc>
        <w:tc>
          <w:tcPr>
            <w:tcW w:w="2130" w:type="dxa"/>
            <w:shd w:val="clear" w:color="auto" w:fill="FFFFFF" w:themeFill="background1"/>
          </w:tcPr>
          <w:p w14:paraId="7A5C5E50" w14:textId="64285DB1"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210(d)(2)</w:t>
            </w:r>
          </w:p>
        </w:tc>
        <w:tc>
          <w:tcPr>
            <w:tcW w:w="2130" w:type="dxa"/>
            <w:shd w:val="clear" w:color="auto" w:fill="FFFFFF" w:themeFill="background1"/>
          </w:tcPr>
          <w:p w14:paraId="449B2417" w14:textId="626D2530"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457.495(d)(1)</w:t>
            </w:r>
          </w:p>
        </w:tc>
        <w:tc>
          <w:tcPr>
            <w:tcW w:w="2130" w:type="dxa"/>
            <w:shd w:val="clear" w:color="auto" w:fill="FFFFFF" w:themeFill="background1"/>
          </w:tcPr>
          <w:p w14:paraId="0EC4581B" w14:textId="7960E51D"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r w:rsidR="005B058D" w:rsidRPr="000F779A" w14:paraId="358D8E81" w14:textId="77777777" w:rsidTr="003E2BFF">
        <w:tc>
          <w:tcPr>
            <w:tcW w:w="2130" w:type="dxa"/>
            <w:shd w:val="clear" w:color="auto" w:fill="FFFFFF" w:themeFill="background1"/>
          </w:tcPr>
          <w:p w14:paraId="1A1E8BD1" w14:textId="4D930DD9"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t>Extension for state Medicaid and CHIP FFS (effective date of the final rule)</w:t>
            </w:r>
          </w:p>
        </w:tc>
        <w:tc>
          <w:tcPr>
            <w:tcW w:w="2130" w:type="dxa"/>
            <w:shd w:val="clear" w:color="auto" w:fill="FFFFFF" w:themeFill="background1"/>
          </w:tcPr>
          <w:p w14:paraId="523EAA33" w14:textId="791C4BED" w:rsidR="005B058D" w:rsidRPr="000F779A" w:rsidRDefault="00D7020E"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30" w:type="dxa"/>
            <w:shd w:val="clear" w:color="auto" w:fill="FFFFFF" w:themeFill="background1"/>
          </w:tcPr>
          <w:p w14:paraId="20E681B5" w14:textId="297D980B"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431.80(c)(1)</w:t>
            </w:r>
          </w:p>
        </w:tc>
        <w:tc>
          <w:tcPr>
            <w:tcW w:w="2130" w:type="dxa"/>
            <w:shd w:val="clear" w:color="auto" w:fill="FFFFFF" w:themeFill="background1"/>
          </w:tcPr>
          <w:p w14:paraId="460AB9BF" w14:textId="21F61D99"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30" w:type="dxa"/>
            <w:shd w:val="clear" w:color="auto" w:fill="FFFFFF" w:themeFill="background1"/>
          </w:tcPr>
          <w:p w14:paraId="2484A8AF" w14:textId="5639C8EA"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457.732(d)(1)</w:t>
            </w:r>
          </w:p>
        </w:tc>
        <w:tc>
          <w:tcPr>
            <w:tcW w:w="2130" w:type="dxa"/>
            <w:shd w:val="clear" w:color="auto" w:fill="FFFFFF" w:themeFill="background1"/>
            <w:vAlign w:val="center"/>
          </w:tcPr>
          <w:p w14:paraId="10480251" w14:textId="73EFE034"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r w:rsidR="005B058D" w:rsidRPr="000F779A" w14:paraId="1B3026F5" w14:textId="77777777" w:rsidTr="003E2BFF">
        <w:tc>
          <w:tcPr>
            <w:tcW w:w="2130" w:type="dxa"/>
            <w:shd w:val="clear" w:color="auto" w:fill="FFFFFF" w:themeFill="background1"/>
          </w:tcPr>
          <w:p w14:paraId="65CCD9DC" w14:textId="5BBC584C"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t>Exemption for state Medicaid and CHIP FFS (effective date of the final rule)</w:t>
            </w:r>
          </w:p>
        </w:tc>
        <w:tc>
          <w:tcPr>
            <w:tcW w:w="2130" w:type="dxa"/>
            <w:shd w:val="clear" w:color="auto" w:fill="FFFFFF" w:themeFill="background1"/>
          </w:tcPr>
          <w:p w14:paraId="40E66140" w14:textId="1E39BA7B" w:rsidR="005B058D" w:rsidRPr="000F779A" w:rsidRDefault="00D7020E"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30" w:type="dxa"/>
            <w:shd w:val="clear" w:color="auto" w:fill="FFFFFF" w:themeFill="background1"/>
          </w:tcPr>
          <w:p w14:paraId="7ECEBBE3" w14:textId="2626FDE1"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431.80(c)(2)</w:t>
            </w:r>
          </w:p>
        </w:tc>
        <w:tc>
          <w:tcPr>
            <w:tcW w:w="2130" w:type="dxa"/>
            <w:shd w:val="clear" w:color="auto" w:fill="FFFFFF" w:themeFill="background1"/>
          </w:tcPr>
          <w:p w14:paraId="5C0AF40A" w14:textId="37E6EBBD"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30" w:type="dxa"/>
            <w:shd w:val="clear" w:color="auto" w:fill="FFFFFF" w:themeFill="background1"/>
          </w:tcPr>
          <w:p w14:paraId="2B411826" w14:textId="01DDA1E9"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457.732(d)(2)</w:t>
            </w:r>
          </w:p>
        </w:tc>
        <w:tc>
          <w:tcPr>
            <w:tcW w:w="2130" w:type="dxa"/>
            <w:shd w:val="clear" w:color="auto" w:fill="FFFFFF" w:themeFill="background1"/>
            <w:vAlign w:val="center"/>
          </w:tcPr>
          <w:p w14:paraId="7B482E96" w14:textId="54C946CB"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r>
      <w:tr w:rsidR="005B058D" w:rsidRPr="000F779A" w14:paraId="137E9B1E" w14:textId="77777777" w:rsidTr="003E2BFF">
        <w:tc>
          <w:tcPr>
            <w:tcW w:w="2130" w:type="dxa"/>
            <w:shd w:val="clear" w:color="auto" w:fill="FFFFFF" w:themeFill="background1"/>
          </w:tcPr>
          <w:p w14:paraId="676F1887" w14:textId="305776BE"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t>Public reporting for prior authorization metrics (compliance date March 31, 2026)</w:t>
            </w:r>
          </w:p>
        </w:tc>
        <w:tc>
          <w:tcPr>
            <w:tcW w:w="2130" w:type="dxa"/>
            <w:shd w:val="clear" w:color="auto" w:fill="FFFFFF" w:themeFill="background1"/>
          </w:tcPr>
          <w:p w14:paraId="13F392CF" w14:textId="141CD6FD" w:rsidR="005B058D" w:rsidRPr="000F779A" w:rsidRDefault="001C49A1"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422.122(c)</w:t>
            </w:r>
          </w:p>
        </w:tc>
        <w:tc>
          <w:tcPr>
            <w:tcW w:w="2130" w:type="dxa"/>
            <w:shd w:val="clear" w:color="auto" w:fill="FFFFFF" w:themeFill="background1"/>
          </w:tcPr>
          <w:p w14:paraId="2C0CEA1B" w14:textId="47AB5BF5"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440.230(e)(3)</w:t>
            </w:r>
          </w:p>
        </w:tc>
        <w:tc>
          <w:tcPr>
            <w:tcW w:w="2130" w:type="dxa"/>
            <w:vMerge w:val="restart"/>
            <w:shd w:val="clear" w:color="auto" w:fill="FFFFFF" w:themeFill="background1"/>
            <w:vAlign w:val="center"/>
          </w:tcPr>
          <w:p w14:paraId="067DD957" w14:textId="763622E7"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438.210(f)</w:t>
            </w:r>
          </w:p>
        </w:tc>
        <w:tc>
          <w:tcPr>
            <w:tcW w:w="2130" w:type="dxa"/>
            <w:shd w:val="clear" w:color="auto" w:fill="FFFFFF" w:themeFill="background1"/>
          </w:tcPr>
          <w:p w14:paraId="250795AE" w14:textId="5B110CB1"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30" w:type="dxa"/>
            <w:vMerge w:val="restart"/>
            <w:shd w:val="clear" w:color="auto" w:fill="FFFFFF" w:themeFill="background1"/>
            <w:vAlign w:val="center"/>
          </w:tcPr>
          <w:p w14:paraId="2F05FB18" w14:textId="4E1F3477"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Through cross reference to 42 CFR 438.210 at 42 CFR 457.1230(d)</w:t>
            </w:r>
          </w:p>
        </w:tc>
      </w:tr>
      <w:tr w:rsidR="005B058D" w:rsidRPr="000F779A" w14:paraId="08D47227" w14:textId="77777777" w:rsidTr="003E2BFF">
        <w:tc>
          <w:tcPr>
            <w:tcW w:w="2130" w:type="dxa"/>
            <w:shd w:val="clear" w:color="auto" w:fill="FFFFFF" w:themeFill="background1"/>
          </w:tcPr>
          <w:p w14:paraId="60177FF3" w14:textId="15147CF0" w:rsidR="005B058D" w:rsidRPr="000F779A" w:rsidRDefault="005B058D" w:rsidP="0049203E">
            <w:pPr>
              <w:spacing w:before="40" w:after="40"/>
              <w:rPr>
                <w:rFonts w:asciiTheme="minorHAnsi" w:hAnsiTheme="minorHAnsi" w:cstheme="minorHAnsi"/>
                <w:sz w:val="22"/>
                <w:szCs w:val="22"/>
              </w:rPr>
            </w:pPr>
            <w:r w:rsidRPr="000F779A">
              <w:rPr>
                <w:rFonts w:asciiTheme="minorHAnsi" w:hAnsiTheme="minorHAnsi" w:cstheme="minorHAnsi"/>
                <w:sz w:val="22"/>
                <w:szCs w:val="22"/>
              </w:rPr>
              <w:lastRenderedPageBreak/>
              <w:t>Prior authorization metrics (compliance date March 31, 2026)</w:t>
            </w:r>
          </w:p>
        </w:tc>
        <w:tc>
          <w:tcPr>
            <w:tcW w:w="2130" w:type="dxa"/>
            <w:shd w:val="clear" w:color="auto" w:fill="FFFFFF" w:themeFill="background1"/>
          </w:tcPr>
          <w:p w14:paraId="15376AD8" w14:textId="2BA1C1A1" w:rsidR="005B058D" w:rsidRPr="000F779A" w:rsidRDefault="001C49A1"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42 CFR 422.122(c)</w:t>
            </w:r>
          </w:p>
        </w:tc>
        <w:tc>
          <w:tcPr>
            <w:tcW w:w="2130" w:type="dxa"/>
            <w:shd w:val="clear" w:color="auto" w:fill="FFFFFF" w:themeFill="background1"/>
          </w:tcPr>
          <w:p w14:paraId="0094810C" w14:textId="2FF9978B"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30" w:type="dxa"/>
            <w:vMerge/>
            <w:shd w:val="clear" w:color="auto" w:fill="FFFFFF" w:themeFill="background1"/>
          </w:tcPr>
          <w:p w14:paraId="5C274ED2" w14:textId="77777777" w:rsidR="005B058D" w:rsidRPr="000F779A" w:rsidRDefault="005B058D" w:rsidP="003E2BFF">
            <w:pPr>
              <w:spacing w:before="40" w:after="40"/>
              <w:jc w:val="center"/>
              <w:rPr>
                <w:rFonts w:asciiTheme="minorHAnsi" w:hAnsiTheme="minorHAnsi" w:cstheme="minorHAnsi"/>
                <w:sz w:val="22"/>
                <w:szCs w:val="22"/>
              </w:rPr>
            </w:pPr>
          </w:p>
        </w:tc>
        <w:tc>
          <w:tcPr>
            <w:tcW w:w="2130" w:type="dxa"/>
            <w:shd w:val="clear" w:color="auto" w:fill="FFFFFF" w:themeFill="background1"/>
          </w:tcPr>
          <w:p w14:paraId="6B07C799" w14:textId="04BE585B" w:rsidR="005B058D" w:rsidRPr="000F779A" w:rsidRDefault="005B058D" w:rsidP="003E2BFF">
            <w:pPr>
              <w:spacing w:before="40" w:after="40"/>
              <w:jc w:val="center"/>
              <w:rPr>
                <w:rFonts w:asciiTheme="minorHAnsi" w:hAnsiTheme="minorHAnsi" w:cstheme="minorHAnsi"/>
                <w:sz w:val="22"/>
                <w:szCs w:val="22"/>
              </w:rPr>
            </w:pPr>
            <w:r w:rsidRPr="000F779A">
              <w:rPr>
                <w:rFonts w:asciiTheme="minorHAnsi" w:hAnsiTheme="minorHAnsi" w:cstheme="minorHAnsi"/>
                <w:sz w:val="22"/>
                <w:szCs w:val="22"/>
              </w:rPr>
              <w:t>NA</w:t>
            </w:r>
          </w:p>
        </w:tc>
        <w:tc>
          <w:tcPr>
            <w:tcW w:w="2130" w:type="dxa"/>
            <w:vMerge/>
            <w:shd w:val="clear" w:color="auto" w:fill="FFFFFF" w:themeFill="background1"/>
            <w:vAlign w:val="center"/>
          </w:tcPr>
          <w:p w14:paraId="248120CF" w14:textId="77777777" w:rsidR="005B058D" w:rsidRPr="000F779A" w:rsidRDefault="005B058D" w:rsidP="003E2BFF">
            <w:pPr>
              <w:spacing w:before="40" w:after="40"/>
              <w:jc w:val="center"/>
              <w:rPr>
                <w:rFonts w:asciiTheme="minorHAnsi" w:hAnsiTheme="minorHAnsi" w:cstheme="minorHAnsi"/>
                <w:sz w:val="22"/>
                <w:szCs w:val="22"/>
              </w:rPr>
            </w:pPr>
          </w:p>
        </w:tc>
      </w:tr>
    </w:tbl>
    <w:p w14:paraId="7A566143" w14:textId="77777777" w:rsidR="00914160" w:rsidRPr="000F779A" w:rsidRDefault="00914160">
      <w:pPr>
        <w:rPr>
          <w:rFonts w:asciiTheme="minorHAnsi" w:hAnsiTheme="minorHAnsi" w:cstheme="minorHAnsi"/>
          <w:sz w:val="22"/>
          <w:szCs w:val="22"/>
        </w:rPr>
      </w:pPr>
    </w:p>
    <w:p w14:paraId="6215199E" w14:textId="77777777" w:rsidR="001D4C61" w:rsidRPr="000F779A" w:rsidRDefault="001D4C61">
      <w:pPr>
        <w:rPr>
          <w:rFonts w:asciiTheme="minorHAnsi" w:hAnsiTheme="minorHAnsi" w:cstheme="minorHAnsi"/>
          <w:sz w:val="22"/>
          <w:szCs w:val="22"/>
        </w:rPr>
      </w:pPr>
    </w:p>
    <w:p w14:paraId="3078F769" w14:textId="77777777" w:rsidR="002C6CF8" w:rsidRPr="000F779A" w:rsidRDefault="002C6CF8" w:rsidP="004A04DE">
      <w:pPr>
        <w:pageBreakBefore/>
        <w:jc w:val="center"/>
        <w:rPr>
          <w:rFonts w:asciiTheme="minorHAnsi" w:hAnsiTheme="minorHAnsi" w:cstheme="minorHAnsi"/>
          <w:b/>
          <w:bCs/>
          <w:sz w:val="22"/>
          <w:szCs w:val="22"/>
        </w:rPr>
      </w:pPr>
      <w:r w:rsidRPr="000F779A">
        <w:rPr>
          <w:rFonts w:asciiTheme="minorHAnsi" w:hAnsiTheme="minorHAnsi" w:cstheme="minorHAnsi"/>
          <w:b/>
          <w:bCs/>
          <w:sz w:val="22"/>
          <w:szCs w:val="22"/>
        </w:rPr>
        <w:lastRenderedPageBreak/>
        <w:t>Impacted Payers</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Eligible</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to</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Apply</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for</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Extensions</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Exemptions</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or</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Exceptions</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by</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Application</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Programming</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Interface</w:t>
      </w:r>
      <w:r w:rsidR="001D4C61" w:rsidRPr="000F779A">
        <w:rPr>
          <w:rFonts w:asciiTheme="minorHAnsi" w:hAnsiTheme="minorHAnsi" w:cstheme="minorHAnsi"/>
          <w:b/>
          <w:bCs/>
          <w:sz w:val="22"/>
          <w:szCs w:val="22"/>
        </w:rPr>
        <w:t xml:space="preserve"> </w:t>
      </w:r>
    </w:p>
    <w:p w14:paraId="0D9CD194" w14:textId="12CF2988" w:rsidR="00914160" w:rsidRPr="000F779A" w:rsidRDefault="002C6CF8" w:rsidP="001D4C61">
      <w:pPr>
        <w:jc w:val="center"/>
        <w:rPr>
          <w:rFonts w:asciiTheme="minorHAnsi" w:hAnsiTheme="minorHAnsi" w:cstheme="minorHAnsi"/>
          <w:b/>
          <w:bCs/>
          <w:sz w:val="22"/>
          <w:szCs w:val="22"/>
        </w:rPr>
      </w:pPr>
      <w:r w:rsidRPr="000F779A">
        <w:rPr>
          <w:rFonts w:asciiTheme="minorHAnsi" w:hAnsiTheme="minorHAnsi" w:cstheme="minorHAnsi"/>
          <w:b/>
          <w:bCs/>
          <w:sz w:val="22"/>
          <w:szCs w:val="22"/>
        </w:rPr>
        <w:t>in</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the</w:t>
      </w:r>
      <w:r w:rsidR="001D4C61" w:rsidRPr="000F779A">
        <w:rPr>
          <w:rFonts w:asciiTheme="minorHAnsi" w:hAnsiTheme="minorHAnsi" w:cstheme="minorHAnsi"/>
          <w:b/>
          <w:bCs/>
          <w:sz w:val="22"/>
          <w:szCs w:val="22"/>
        </w:rPr>
        <w:t xml:space="preserve"> CMS </w:t>
      </w:r>
      <w:r w:rsidRPr="000F779A">
        <w:rPr>
          <w:rFonts w:asciiTheme="minorHAnsi" w:hAnsiTheme="minorHAnsi" w:cstheme="minorHAnsi"/>
          <w:b/>
          <w:bCs/>
          <w:sz w:val="22"/>
          <w:szCs w:val="22"/>
        </w:rPr>
        <w:t>Interoperability</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and</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Prior</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Authorization</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Final</w:t>
      </w:r>
      <w:r w:rsidR="001D4C61" w:rsidRPr="000F779A">
        <w:rPr>
          <w:rFonts w:asciiTheme="minorHAnsi" w:hAnsiTheme="minorHAnsi" w:cstheme="minorHAnsi"/>
          <w:b/>
          <w:bCs/>
          <w:sz w:val="22"/>
          <w:szCs w:val="22"/>
        </w:rPr>
        <w:t xml:space="preserve"> </w:t>
      </w:r>
      <w:r w:rsidRPr="000F779A">
        <w:rPr>
          <w:rFonts w:asciiTheme="minorHAnsi" w:hAnsiTheme="minorHAnsi" w:cstheme="minorHAnsi"/>
          <w:b/>
          <w:bCs/>
          <w:sz w:val="22"/>
          <w:szCs w:val="22"/>
        </w:rPr>
        <w:t>Rule</w:t>
      </w:r>
    </w:p>
    <w:p w14:paraId="53B90DFA" w14:textId="6407D56A" w:rsidR="003E79C5" w:rsidRPr="000F779A" w:rsidRDefault="00982D29" w:rsidP="001D4C61">
      <w:pPr>
        <w:jc w:val="center"/>
        <w:rPr>
          <w:rFonts w:asciiTheme="minorHAnsi" w:hAnsiTheme="minorHAnsi" w:cstheme="minorHAnsi"/>
          <w:sz w:val="16"/>
          <w:szCs w:val="16"/>
        </w:rPr>
      </w:pPr>
      <w:r w:rsidRPr="000F779A">
        <w:rPr>
          <w:rFonts w:asciiTheme="minorHAnsi" w:hAnsiTheme="minorHAnsi" w:cstheme="minorHAnsi"/>
          <w:b/>
          <w:bCs/>
          <w:sz w:val="22"/>
          <w:szCs w:val="22"/>
        </w:rPr>
        <w:t xml:space="preserve">(Table </w:t>
      </w:r>
      <w:r w:rsidR="00C26FE2" w:rsidRPr="000F779A">
        <w:rPr>
          <w:rFonts w:asciiTheme="minorHAnsi" w:hAnsiTheme="minorHAnsi" w:cstheme="minorHAnsi"/>
          <w:b/>
          <w:bCs/>
          <w:sz w:val="22"/>
          <w:szCs w:val="22"/>
        </w:rPr>
        <w:t>F1—Page 8907</w:t>
      </w:r>
      <w:r w:rsidR="004A04DE" w:rsidRPr="000F779A">
        <w:rPr>
          <w:rFonts w:asciiTheme="minorHAnsi" w:hAnsiTheme="minorHAnsi" w:cstheme="minorHAnsi"/>
          <w:b/>
          <w:bCs/>
          <w:sz w:val="22"/>
          <w:szCs w:val="22"/>
        </w:rPr>
        <w:t>)</w:t>
      </w:r>
    </w:p>
    <w:tbl>
      <w:tblPr>
        <w:tblW w:w="0" w:type="auto"/>
        <w:jc w:val="center"/>
        <w:tblLayout w:type="fixed"/>
        <w:tblCellMar>
          <w:left w:w="0" w:type="dxa"/>
          <w:right w:w="0" w:type="dxa"/>
        </w:tblCellMar>
        <w:tblLook w:val="0000" w:firstRow="0" w:lastRow="0" w:firstColumn="0" w:lastColumn="0" w:noHBand="0" w:noVBand="0"/>
      </w:tblPr>
      <w:tblGrid>
        <w:gridCol w:w="2970"/>
        <w:gridCol w:w="4140"/>
        <w:gridCol w:w="4770"/>
      </w:tblGrid>
      <w:tr w:rsidR="0081139A" w:rsidRPr="000F779A" w14:paraId="63E707C0" w14:textId="77777777" w:rsidTr="001D4C61">
        <w:trPr>
          <w:trHeight w:val="225"/>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0070C0"/>
          </w:tcPr>
          <w:p w14:paraId="04077675" w14:textId="77777777" w:rsidR="0081139A" w:rsidRPr="000F779A" w:rsidRDefault="0081139A" w:rsidP="0017585B">
            <w:pPr>
              <w:kinsoku w:val="0"/>
              <w:overflowPunct w:val="0"/>
              <w:autoSpaceDE w:val="0"/>
              <w:autoSpaceDN w:val="0"/>
              <w:adjustRightInd w:val="0"/>
              <w:spacing w:before="160" w:after="160" w:line="186" w:lineRule="exact"/>
              <w:ind w:left="87" w:right="61"/>
              <w:jc w:val="center"/>
              <w:rPr>
                <w:rFonts w:asciiTheme="minorHAnsi" w:eastAsiaTheme="minorHAnsi" w:hAnsiTheme="minorHAnsi" w:cstheme="minorHAnsi"/>
                <w:b/>
                <w:bCs/>
                <w:color w:val="FFFFFF" w:themeColor="background1"/>
                <w:spacing w:val="-4"/>
                <w:sz w:val="22"/>
                <w:szCs w:val="22"/>
                <w14:ligatures w14:val="standardContextual"/>
              </w:rPr>
            </w:pPr>
            <w:r w:rsidRPr="000F779A">
              <w:rPr>
                <w:rFonts w:asciiTheme="minorHAnsi" w:eastAsiaTheme="minorHAnsi" w:hAnsiTheme="minorHAnsi" w:cstheme="minorHAnsi"/>
                <w:b/>
                <w:bCs/>
                <w:color w:val="FFFFFF" w:themeColor="background1"/>
                <w:spacing w:val="-4"/>
                <w:sz w:val="22"/>
                <w:szCs w:val="22"/>
                <w14:ligatures w14:val="standardContextual"/>
              </w:rPr>
              <w:t>API</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Pr>
          <w:p w14:paraId="2D5820BA" w14:textId="77777777" w:rsidR="0081139A" w:rsidRPr="000F779A" w:rsidRDefault="0081139A" w:rsidP="0017585B">
            <w:pPr>
              <w:kinsoku w:val="0"/>
              <w:overflowPunct w:val="0"/>
              <w:autoSpaceDE w:val="0"/>
              <w:autoSpaceDN w:val="0"/>
              <w:adjustRightInd w:val="0"/>
              <w:spacing w:before="160" w:after="160" w:line="186" w:lineRule="exact"/>
              <w:ind w:left="235"/>
              <w:rPr>
                <w:rFonts w:asciiTheme="minorHAnsi" w:eastAsiaTheme="minorHAnsi" w:hAnsiTheme="minorHAnsi" w:cstheme="minorHAnsi"/>
                <w:b/>
                <w:bCs/>
                <w:color w:val="FFFFFF" w:themeColor="background1"/>
                <w:w w:val="105"/>
                <w:sz w:val="22"/>
                <w:szCs w:val="22"/>
                <w14:ligatures w14:val="standardContextual"/>
              </w:rPr>
            </w:pPr>
            <w:r w:rsidRPr="000F779A">
              <w:rPr>
                <w:rFonts w:asciiTheme="minorHAnsi" w:eastAsiaTheme="minorHAnsi" w:hAnsiTheme="minorHAnsi" w:cstheme="minorHAnsi"/>
                <w:b/>
                <w:bCs/>
                <w:color w:val="FFFFFF" w:themeColor="background1"/>
                <w:w w:val="105"/>
                <w:sz w:val="22"/>
                <w:szCs w:val="22"/>
                <w14:ligatures w14:val="standardContextual"/>
              </w:rPr>
              <w:t>Eligible for Extension</w:t>
            </w:r>
          </w:p>
        </w:tc>
        <w:tc>
          <w:tcPr>
            <w:tcW w:w="4770" w:type="dxa"/>
            <w:tcBorders>
              <w:top w:val="single" w:sz="4" w:space="0" w:color="000000"/>
              <w:left w:val="single" w:sz="4" w:space="0" w:color="000000"/>
              <w:bottom w:val="single" w:sz="4" w:space="0" w:color="000000"/>
              <w:right w:val="single" w:sz="4" w:space="0" w:color="000000"/>
            </w:tcBorders>
            <w:shd w:val="clear" w:color="auto" w:fill="0070C0"/>
          </w:tcPr>
          <w:p w14:paraId="28EC3838" w14:textId="77777777" w:rsidR="0081139A" w:rsidRPr="000F779A" w:rsidRDefault="0081139A" w:rsidP="0017585B">
            <w:pPr>
              <w:kinsoku w:val="0"/>
              <w:overflowPunct w:val="0"/>
              <w:autoSpaceDE w:val="0"/>
              <w:autoSpaceDN w:val="0"/>
              <w:adjustRightInd w:val="0"/>
              <w:spacing w:before="160" w:after="160" w:line="186" w:lineRule="exact"/>
              <w:ind w:left="595"/>
              <w:rPr>
                <w:rFonts w:asciiTheme="minorHAnsi" w:eastAsiaTheme="minorHAnsi" w:hAnsiTheme="minorHAnsi" w:cstheme="minorHAnsi"/>
                <w:b/>
                <w:bCs/>
                <w:color w:val="FFFFFF" w:themeColor="background1"/>
                <w:w w:val="105"/>
                <w:sz w:val="22"/>
                <w:szCs w:val="22"/>
                <w14:ligatures w14:val="standardContextual"/>
              </w:rPr>
            </w:pPr>
            <w:r w:rsidRPr="000F779A">
              <w:rPr>
                <w:rFonts w:asciiTheme="minorHAnsi" w:eastAsiaTheme="minorHAnsi" w:hAnsiTheme="minorHAnsi" w:cstheme="minorHAnsi"/>
                <w:b/>
                <w:bCs/>
                <w:color w:val="FFFFFF" w:themeColor="background1"/>
                <w:w w:val="105"/>
                <w:sz w:val="22"/>
                <w:szCs w:val="22"/>
                <w14:ligatures w14:val="standardContextual"/>
              </w:rPr>
              <w:t>Eligible for Exemption</w:t>
            </w:r>
          </w:p>
        </w:tc>
      </w:tr>
      <w:tr w:rsidR="0081139A" w:rsidRPr="000F779A" w14:paraId="54883C96" w14:textId="77777777" w:rsidTr="001D4C61">
        <w:trPr>
          <w:trHeight w:val="1196"/>
          <w:jc w:val="center"/>
        </w:trPr>
        <w:tc>
          <w:tcPr>
            <w:tcW w:w="2970" w:type="dxa"/>
            <w:tcBorders>
              <w:top w:val="single" w:sz="4" w:space="0" w:color="000000"/>
              <w:left w:val="single" w:sz="4" w:space="0" w:color="000000"/>
              <w:bottom w:val="single" w:sz="4" w:space="0" w:color="000000"/>
              <w:right w:val="single" w:sz="4" w:space="0" w:color="000000"/>
            </w:tcBorders>
          </w:tcPr>
          <w:p w14:paraId="312138D4" w14:textId="77777777" w:rsidR="0081139A" w:rsidRPr="000F779A" w:rsidRDefault="0081139A" w:rsidP="00260154">
            <w:pPr>
              <w:kinsoku w:val="0"/>
              <w:overflowPunct w:val="0"/>
              <w:autoSpaceDE w:val="0"/>
              <w:autoSpaceDN w:val="0"/>
              <w:adjustRightInd w:val="0"/>
              <w:spacing w:before="24" w:line="254" w:lineRule="auto"/>
              <w:ind w:left="118" w:right="192" w:firstLine="12"/>
              <w:rPr>
                <w:rFonts w:asciiTheme="minorHAnsi" w:eastAsiaTheme="minorHAnsi" w:hAnsiTheme="minorHAnsi" w:cstheme="minorHAnsi"/>
                <w:spacing w:val="-4"/>
                <w:w w:val="105"/>
                <w:sz w:val="22"/>
                <w:szCs w:val="22"/>
                <w14:ligatures w14:val="standardContextual"/>
              </w:rPr>
            </w:pPr>
            <w:r w:rsidRPr="000F779A">
              <w:rPr>
                <w:rFonts w:asciiTheme="minorHAnsi" w:eastAsiaTheme="minorHAnsi" w:hAnsiTheme="minorHAnsi" w:cstheme="minorHAnsi"/>
                <w:spacing w:val="-2"/>
                <w:w w:val="105"/>
                <w:sz w:val="22"/>
                <w:szCs w:val="22"/>
                <w14:ligatures w14:val="standardContextual"/>
              </w:rPr>
              <w:t>Provider</w:t>
            </w:r>
            <w:r w:rsidRPr="000F779A">
              <w:rPr>
                <w:rFonts w:asciiTheme="minorHAnsi" w:eastAsiaTheme="minorHAnsi" w:hAnsiTheme="minorHAnsi" w:cstheme="minorHAnsi"/>
                <w:spacing w:val="-11"/>
                <w:w w:val="105"/>
                <w:sz w:val="22"/>
                <w:szCs w:val="22"/>
                <w14:ligatures w14:val="standardContextual"/>
              </w:rPr>
              <w:t xml:space="preserve"> </w:t>
            </w:r>
            <w:r w:rsidRPr="000F779A">
              <w:rPr>
                <w:rFonts w:asciiTheme="minorHAnsi" w:eastAsiaTheme="minorHAnsi" w:hAnsiTheme="minorHAnsi" w:cstheme="minorHAnsi"/>
                <w:spacing w:val="-2"/>
                <w:w w:val="105"/>
                <w:sz w:val="22"/>
                <w:szCs w:val="22"/>
                <w14:ligatures w14:val="standardContextual"/>
              </w:rPr>
              <w:t xml:space="preserve">Access </w:t>
            </w:r>
            <w:r w:rsidRPr="000F779A">
              <w:rPr>
                <w:rFonts w:asciiTheme="minorHAnsi" w:eastAsiaTheme="minorHAnsi" w:hAnsiTheme="minorHAnsi" w:cstheme="minorHAnsi"/>
                <w:spacing w:val="-4"/>
                <w:w w:val="105"/>
                <w:sz w:val="22"/>
                <w:szCs w:val="22"/>
                <w14:ligatures w14:val="standardContextual"/>
              </w:rPr>
              <w:t>API</w:t>
            </w:r>
          </w:p>
        </w:tc>
        <w:tc>
          <w:tcPr>
            <w:tcW w:w="4140" w:type="dxa"/>
            <w:tcBorders>
              <w:top w:val="single" w:sz="4" w:space="0" w:color="000000"/>
              <w:left w:val="single" w:sz="4" w:space="0" w:color="000000"/>
              <w:bottom w:val="single" w:sz="4" w:space="0" w:color="000000"/>
              <w:right w:val="single" w:sz="4" w:space="0" w:color="000000"/>
            </w:tcBorders>
          </w:tcPr>
          <w:p w14:paraId="628DDBF4" w14:textId="1F658D99" w:rsidR="0081139A" w:rsidRPr="000F779A" w:rsidRDefault="0081139A" w:rsidP="004A04DE">
            <w:pPr>
              <w:numPr>
                <w:ilvl w:val="0"/>
                <w:numId w:val="34"/>
              </w:numPr>
              <w:tabs>
                <w:tab w:val="left" w:pos="408"/>
              </w:tabs>
              <w:kinsoku w:val="0"/>
              <w:overflowPunct w:val="0"/>
              <w:autoSpaceDE w:val="0"/>
              <w:autoSpaceDN w:val="0"/>
              <w:adjustRightInd w:val="0"/>
              <w:spacing w:before="27" w:after="40" w:line="196" w:lineRule="auto"/>
              <w:ind w:right="726" w:hanging="296"/>
              <w:rPr>
                <w:rFonts w:asciiTheme="minorHAnsi" w:eastAsiaTheme="minorHAnsi" w:hAnsiTheme="minorHAnsi" w:cstheme="minorHAnsi"/>
                <w:spacing w:val="-2"/>
                <w:w w:val="105"/>
                <w:sz w:val="22"/>
                <w:szCs w:val="22"/>
                <w14:ligatures w14:val="standardContextual"/>
              </w:rPr>
            </w:pPr>
            <w:r w:rsidRPr="000F779A">
              <w:rPr>
                <w:rFonts w:asciiTheme="minorHAnsi" w:eastAsiaTheme="minorHAnsi" w:hAnsiTheme="minorHAnsi" w:cstheme="minorHAnsi"/>
                <w:w w:val="105"/>
                <w:sz w:val="22"/>
                <w:szCs w:val="22"/>
                <w14:ligatures w14:val="standardContextual"/>
              </w:rPr>
              <w:t>Medicaid</w:t>
            </w:r>
            <w:r w:rsidRPr="000F779A">
              <w:rPr>
                <w:rFonts w:asciiTheme="minorHAnsi" w:eastAsiaTheme="minorHAnsi" w:hAnsiTheme="minorHAnsi" w:cstheme="minorHAnsi"/>
                <w:spacing w:val="-13"/>
                <w:w w:val="105"/>
                <w:sz w:val="22"/>
                <w:szCs w:val="22"/>
                <w14:ligatures w14:val="standardContextual"/>
              </w:rPr>
              <w:t xml:space="preserve"> F</w:t>
            </w:r>
            <w:r w:rsidRPr="000F779A">
              <w:rPr>
                <w:rFonts w:asciiTheme="minorHAnsi" w:eastAsiaTheme="minorHAnsi" w:hAnsiTheme="minorHAnsi" w:cstheme="minorHAnsi"/>
                <w:w w:val="105"/>
                <w:sz w:val="22"/>
                <w:szCs w:val="22"/>
                <w14:ligatures w14:val="standardContextual"/>
              </w:rPr>
              <w:t>FS p</w:t>
            </w:r>
            <w:r w:rsidRPr="000F779A">
              <w:rPr>
                <w:rFonts w:asciiTheme="minorHAnsi" w:eastAsiaTheme="minorHAnsi" w:hAnsiTheme="minorHAnsi" w:cstheme="minorHAnsi"/>
                <w:spacing w:val="-2"/>
                <w:w w:val="105"/>
                <w:sz w:val="22"/>
                <w:szCs w:val="22"/>
                <w14:ligatures w14:val="standardContextual"/>
              </w:rPr>
              <w:t>rogram</w:t>
            </w:r>
          </w:p>
          <w:p w14:paraId="773C0FA8" w14:textId="77777777" w:rsidR="0081139A" w:rsidRPr="000F779A" w:rsidRDefault="0081139A" w:rsidP="004A04DE">
            <w:pPr>
              <w:numPr>
                <w:ilvl w:val="0"/>
                <w:numId w:val="34"/>
              </w:numPr>
              <w:tabs>
                <w:tab w:val="left" w:pos="410"/>
              </w:tabs>
              <w:kinsoku w:val="0"/>
              <w:overflowPunct w:val="0"/>
              <w:autoSpaceDE w:val="0"/>
              <w:autoSpaceDN w:val="0"/>
              <w:adjustRightInd w:val="0"/>
              <w:spacing w:after="40" w:line="315" w:lineRule="exact"/>
              <w:ind w:left="410"/>
              <w:rPr>
                <w:rFonts w:asciiTheme="minorHAnsi" w:eastAsiaTheme="minorHAnsi" w:hAnsiTheme="minorHAnsi" w:cstheme="minorHAnsi"/>
                <w:w w:val="105"/>
                <w:sz w:val="22"/>
                <w:szCs w:val="22"/>
                <w14:ligatures w14:val="standardContextual"/>
              </w:rPr>
            </w:pPr>
            <w:r w:rsidRPr="000F779A">
              <w:rPr>
                <w:rFonts w:asciiTheme="minorHAnsi" w:eastAsiaTheme="minorHAnsi" w:hAnsiTheme="minorHAnsi" w:cstheme="minorHAnsi"/>
                <w:w w:val="105"/>
                <w:sz w:val="22"/>
                <w:szCs w:val="22"/>
                <w14:ligatures w14:val="standardContextual"/>
              </w:rPr>
              <w:t>CHIP FFS program</w:t>
            </w:r>
          </w:p>
        </w:tc>
        <w:tc>
          <w:tcPr>
            <w:tcW w:w="4770" w:type="dxa"/>
            <w:tcBorders>
              <w:top w:val="single" w:sz="4" w:space="0" w:color="000000"/>
              <w:left w:val="single" w:sz="4" w:space="0" w:color="000000"/>
              <w:bottom w:val="single" w:sz="4" w:space="0" w:color="000000"/>
              <w:right w:val="single" w:sz="4" w:space="0" w:color="000000"/>
            </w:tcBorders>
          </w:tcPr>
          <w:p w14:paraId="56318F13" w14:textId="73EEF8E6" w:rsidR="0081139A" w:rsidRPr="000F779A" w:rsidRDefault="0081139A" w:rsidP="004A04DE">
            <w:pPr>
              <w:numPr>
                <w:ilvl w:val="0"/>
                <w:numId w:val="33"/>
              </w:numPr>
              <w:tabs>
                <w:tab w:val="left" w:pos="404"/>
              </w:tabs>
              <w:kinsoku w:val="0"/>
              <w:overflowPunct w:val="0"/>
              <w:autoSpaceDE w:val="0"/>
              <w:autoSpaceDN w:val="0"/>
              <w:adjustRightInd w:val="0"/>
              <w:spacing w:before="22" w:after="40" w:line="196" w:lineRule="auto"/>
              <w:ind w:right="246"/>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Medicaid</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FFS</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program</w:t>
            </w:r>
            <w:r w:rsidRPr="000F779A">
              <w:rPr>
                <w:rFonts w:asciiTheme="minorHAnsi" w:eastAsiaTheme="minorHAnsi" w:hAnsiTheme="minorHAnsi" w:cstheme="minorHAnsi"/>
                <w:spacing w:val="-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with</w:t>
            </w:r>
            <w:r w:rsidR="007237DF" w:rsidRPr="000F779A">
              <w:rPr>
                <w:rFonts w:asciiTheme="minorHAnsi" w:eastAsiaTheme="minorHAnsi" w:hAnsiTheme="minorHAnsi" w:cstheme="minorHAnsi"/>
                <w:sz w:val="22"/>
                <w:szCs w:val="22"/>
                <w14:ligatures w14:val="standardContextual"/>
              </w:rPr>
              <w:t xml:space="preserve"> </w:t>
            </w:r>
            <w:r w:rsidRPr="000F779A">
              <w:rPr>
                <w:rFonts w:asciiTheme="minorHAnsi" w:eastAsiaTheme="minorHAnsi" w:hAnsiTheme="minorHAnsi" w:cstheme="minorHAnsi"/>
                <w:spacing w:val="-12"/>
                <w:sz w:val="22"/>
                <w:szCs w:val="22"/>
                <w14:ligatures w14:val="standardContextual"/>
              </w:rPr>
              <w:t xml:space="preserve"> </w:t>
            </w:r>
            <w:r w:rsidR="008D4EB8" w:rsidRPr="000F779A">
              <w:rPr>
                <w:rFonts w:asciiTheme="minorHAnsi" w:eastAsiaTheme="minorHAnsi" w:hAnsiTheme="minorHAnsi" w:cstheme="minorHAnsi"/>
                <w:spacing w:val="-12"/>
                <w:sz w:val="22"/>
                <w:szCs w:val="22"/>
                <w14:ligatures w14:val="standardContextual"/>
              </w:rPr>
              <w:t>≥</w:t>
            </w:r>
            <w:r w:rsidR="00D7001D"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 xml:space="preserve"> 90% in</w:t>
            </w:r>
            <w:r w:rsidR="0008290C" w:rsidRPr="000F779A">
              <w:rPr>
                <w:rFonts w:asciiTheme="minorHAnsi" w:eastAsiaTheme="minorHAnsi" w:hAnsiTheme="minorHAnsi" w:cstheme="minorHAnsi"/>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MCOs</w:t>
            </w:r>
          </w:p>
          <w:p w14:paraId="2C942287" w14:textId="3CF0C6BC" w:rsidR="00564701" w:rsidRPr="000F779A" w:rsidRDefault="0081139A" w:rsidP="004A04DE">
            <w:pPr>
              <w:numPr>
                <w:ilvl w:val="0"/>
                <w:numId w:val="33"/>
              </w:numPr>
              <w:tabs>
                <w:tab w:val="left" w:pos="404"/>
              </w:tabs>
              <w:kinsoku w:val="0"/>
              <w:overflowPunct w:val="0"/>
              <w:autoSpaceDE w:val="0"/>
              <w:autoSpaceDN w:val="0"/>
              <w:adjustRightInd w:val="0"/>
              <w:spacing w:before="23" w:after="40" w:line="196" w:lineRule="auto"/>
              <w:ind w:right="395" w:hanging="292"/>
              <w:rPr>
                <w:rFonts w:asciiTheme="minorHAnsi" w:eastAsiaTheme="minorHAnsi" w:hAnsiTheme="minorHAnsi" w:cstheme="minorHAnsi"/>
                <w:spacing w:val="-2"/>
                <w:w w:val="110"/>
                <w:sz w:val="22"/>
                <w:szCs w:val="22"/>
                <w14:ligatures w14:val="standardContextual"/>
              </w:rPr>
            </w:pPr>
            <w:r w:rsidRPr="000F779A">
              <w:rPr>
                <w:rFonts w:asciiTheme="minorHAnsi" w:eastAsiaTheme="minorHAnsi" w:hAnsiTheme="minorHAnsi" w:cstheme="minorHAnsi"/>
                <w:sz w:val="22"/>
                <w:szCs w:val="22"/>
                <w14:ligatures w14:val="standardContextual"/>
              </w:rPr>
              <w:t>CHIP</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FFS</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program</w:t>
            </w:r>
            <w:r w:rsidRPr="000F779A">
              <w:rPr>
                <w:rFonts w:asciiTheme="minorHAnsi" w:eastAsiaTheme="minorHAnsi" w:hAnsiTheme="minorHAnsi" w:cstheme="minorHAnsi"/>
                <w:spacing w:val="-6"/>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with</w:t>
            </w:r>
            <w:r w:rsidR="009403B7" w:rsidRPr="000F779A">
              <w:rPr>
                <w:rFonts w:asciiTheme="minorHAnsi" w:eastAsiaTheme="minorHAnsi" w:hAnsiTheme="minorHAnsi" w:cstheme="minorHAnsi"/>
                <w:sz w:val="22"/>
                <w:szCs w:val="22"/>
                <w14:ligatures w14:val="standardContextual"/>
              </w:rPr>
              <w:t xml:space="preserve"> </w:t>
            </w:r>
            <w:r w:rsidR="009403B7"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90% in</w:t>
            </w:r>
            <w:r w:rsidR="009403B7" w:rsidRPr="000F779A">
              <w:rPr>
                <w:rFonts w:asciiTheme="minorHAnsi" w:eastAsiaTheme="minorHAnsi" w:hAnsiTheme="minorHAnsi" w:cstheme="minorHAnsi"/>
                <w:sz w:val="22"/>
                <w:szCs w:val="22"/>
                <w14:ligatures w14:val="standardContextual"/>
              </w:rPr>
              <w:t xml:space="preserve"> </w:t>
            </w:r>
            <w:r w:rsidR="00564701" w:rsidRPr="000F779A">
              <w:rPr>
                <w:rFonts w:asciiTheme="minorHAnsi" w:eastAsiaTheme="minorHAnsi" w:hAnsiTheme="minorHAnsi" w:cstheme="minorHAnsi"/>
                <w:sz w:val="22"/>
                <w:szCs w:val="22"/>
                <w14:ligatures w14:val="standardContextual"/>
              </w:rPr>
              <w:t>MC</w:t>
            </w:r>
            <w:r w:rsidRPr="000F779A">
              <w:rPr>
                <w:rFonts w:asciiTheme="minorHAnsi" w:eastAsiaTheme="minorHAnsi" w:hAnsiTheme="minorHAnsi" w:cstheme="minorHAnsi"/>
                <w:sz w:val="22"/>
                <w:szCs w:val="22"/>
                <w14:ligatures w14:val="standardContextual"/>
              </w:rPr>
              <w:t>Os</w:t>
            </w:r>
          </w:p>
          <w:p w14:paraId="39E4AEC3" w14:textId="7C04E18D" w:rsidR="0081139A" w:rsidRPr="000F779A" w:rsidRDefault="0081139A" w:rsidP="004A04DE">
            <w:pPr>
              <w:numPr>
                <w:ilvl w:val="0"/>
                <w:numId w:val="33"/>
              </w:numPr>
              <w:tabs>
                <w:tab w:val="left" w:pos="404"/>
              </w:tabs>
              <w:kinsoku w:val="0"/>
              <w:overflowPunct w:val="0"/>
              <w:autoSpaceDE w:val="0"/>
              <w:autoSpaceDN w:val="0"/>
              <w:adjustRightInd w:val="0"/>
              <w:spacing w:before="23" w:after="40" w:line="196" w:lineRule="auto"/>
              <w:ind w:right="395" w:hanging="292"/>
              <w:rPr>
                <w:rFonts w:asciiTheme="minorHAnsi" w:eastAsiaTheme="minorHAnsi" w:hAnsiTheme="minorHAnsi" w:cstheme="minorHAnsi"/>
                <w:spacing w:val="-2"/>
                <w:w w:val="110"/>
                <w:sz w:val="22"/>
                <w:szCs w:val="22"/>
                <w14:ligatures w14:val="standardContextual"/>
              </w:rPr>
            </w:pPr>
            <w:r w:rsidRPr="000F779A">
              <w:rPr>
                <w:rFonts w:asciiTheme="minorHAnsi" w:eastAsiaTheme="minorHAnsi" w:hAnsiTheme="minorHAnsi" w:cstheme="minorHAnsi"/>
                <w:spacing w:val="-2"/>
                <w:w w:val="110"/>
                <w:sz w:val="22"/>
                <w:szCs w:val="22"/>
                <w14:ligatures w14:val="standardContextual"/>
              </w:rPr>
              <w:t>NEMT</w:t>
            </w:r>
            <w:r w:rsidR="00386B23" w:rsidRPr="000F779A">
              <w:rPr>
                <w:rFonts w:asciiTheme="minorHAnsi" w:eastAsiaTheme="minorHAnsi" w:hAnsiTheme="minorHAnsi" w:cstheme="minorHAnsi"/>
                <w:spacing w:val="-2"/>
                <w:w w:val="110"/>
                <w:sz w:val="22"/>
                <w:szCs w:val="22"/>
                <w14:ligatures w14:val="standardContextual"/>
              </w:rPr>
              <w:t xml:space="preserve"> </w:t>
            </w:r>
            <w:r w:rsidRPr="000F779A">
              <w:rPr>
                <w:rFonts w:asciiTheme="minorHAnsi" w:eastAsiaTheme="minorHAnsi" w:hAnsiTheme="minorHAnsi" w:cstheme="minorHAnsi"/>
                <w:spacing w:val="-2"/>
                <w:w w:val="110"/>
                <w:sz w:val="22"/>
                <w:szCs w:val="22"/>
                <w14:ligatures w14:val="standardContextual"/>
              </w:rPr>
              <w:t>PAHP*</w:t>
            </w:r>
          </w:p>
        </w:tc>
      </w:tr>
      <w:tr w:rsidR="0081139A" w:rsidRPr="000F779A" w14:paraId="477F9D0F" w14:textId="77777777" w:rsidTr="001D4C61">
        <w:trPr>
          <w:trHeight w:val="960"/>
          <w:jc w:val="center"/>
        </w:trPr>
        <w:tc>
          <w:tcPr>
            <w:tcW w:w="2970" w:type="dxa"/>
            <w:tcBorders>
              <w:top w:val="single" w:sz="4" w:space="0" w:color="000000"/>
              <w:left w:val="single" w:sz="4" w:space="0" w:color="000000"/>
              <w:bottom w:val="single" w:sz="4" w:space="0" w:color="000000"/>
              <w:right w:val="single" w:sz="4" w:space="0" w:color="000000"/>
            </w:tcBorders>
          </w:tcPr>
          <w:p w14:paraId="098931B8" w14:textId="77777777" w:rsidR="0081139A" w:rsidRPr="000F779A" w:rsidRDefault="0081139A" w:rsidP="0068673A">
            <w:pPr>
              <w:kinsoku w:val="0"/>
              <w:overflowPunct w:val="0"/>
              <w:autoSpaceDE w:val="0"/>
              <w:autoSpaceDN w:val="0"/>
              <w:adjustRightInd w:val="0"/>
              <w:spacing w:before="24" w:line="254" w:lineRule="auto"/>
              <w:ind w:left="118" w:right="192" w:firstLine="12"/>
              <w:rPr>
                <w:rFonts w:asciiTheme="minorHAnsi" w:eastAsiaTheme="minorHAnsi" w:hAnsiTheme="minorHAnsi" w:cstheme="minorHAnsi"/>
                <w:w w:val="105"/>
                <w:sz w:val="22"/>
                <w:szCs w:val="22"/>
                <w14:ligatures w14:val="standardContextual"/>
              </w:rPr>
            </w:pPr>
            <w:r w:rsidRPr="000F779A">
              <w:rPr>
                <w:rFonts w:asciiTheme="minorHAnsi" w:eastAsiaTheme="minorHAnsi" w:hAnsiTheme="minorHAnsi" w:cstheme="minorHAnsi"/>
                <w:spacing w:val="-2"/>
                <w:w w:val="105"/>
                <w:sz w:val="22"/>
                <w:szCs w:val="22"/>
                <w14:ligatures w14:val="standardContextual"/>
              </w:rPr>
              <w:t>Payer</w:t>
            </w:r>
            <w:r w:rsidRPr="000F779A">
              <w:rPr>
                <w:rFonts w:asciiTheme="minorHAnsi" w:eastAsiaTheme="minorHAnsi" w:hAnsiTheme="minorHAnsi" w:cstheme="minorHAnsi"/>
                <w:w w:val="105"/>
                <w:sz w:val="22"/>
                <w:szCs w:val="22"/>
                <w14:ligatures w14:val="standardContextual"/>
              </w:rPr>
              <w:t>-to-Payer</w:t>
            </w:r>
            <w:r w:rsidRPr="000F779A">
              <w:rPr>
                <w:rFonts w:asciiTheme="minorHAnsi" w:eastAsiaTheme="minorHAnsi" w:hAnsiTheme="minorHAnsi" w:cstheme="minorHAnsi"/>
                <w:spacing w:val="-4"/>
                <w:w w:val="105"/>
                <w:sz w:val="22"/>
                <w:szCs w:val="22"/>
                <w14:ligatures w14:val="standardContextual"/>
              </w:rPr>
              <w:t xml:space="preserve"> </w:t>
            </w:r>
            <w:r w:rsidRPr="000F779A">
              <w:rPr>
                <w:rFonts w:asciiTheme="minorHAnsi" w:eastAsiaTheme="minorHAnsi" w:hAnsiTheme="minorHAnsi" w:cstheme="minorHAnsi"/>
                <w:w w:val="105"/>
                <w:sz w:val="22"/>
                <w:szCs w:val="22"/>
                <w14:ligatures w14:val="standardContextual"/>
              </w:rPr>
              <w:t>API</w:t>
            </w:r>
          </w:p>
        </w:tc>
        <w:tc>
          <w:tcPr>
            <w:tcW w:w="4140" w:type="dxa"/>
            <w:tcBorders>
              <w:top w:val="single" w:sz="4" w:space="0" w:color="000000"/>
              <w:left w:val="single" w:sz="4" w:space="0" w:color="000000"/>
              <w:bottom w:val="single" w:sz="4" w:space="0" w:color="000000"/>
              <w:right w:val="single" w:sz="4" w:space="0" w:color="000000"/>
            </w:tcBorders>
          </w:tcPr>
          <w:p w14:paraId="6F45108B" w14:textId="77777777" w:rsidR="0081139A" w:rsidRPr="000F779A" w:rsidRDefault="0081139A" w:rsidP="004A04DE">
            <w:pPr>
              <w:numPr>
                <w:ilvl w:val="0"/>
                <w:numId w:val="31"/>
              </w:numPr>
              <w:tabs>
                <w:tab w:val="left" w:pos="418"/>
              </w:tabs>
              <w:kinsoku w:val="0"/>
              <w:overflowPunct w:val="0"/>
              <w:autoSpaceDE w:val="0"/>
              <w:autoSpaceDN w:val="0"/>
              <w:adjustRightInd w:val="0"/>
              <w:spacing w:before="27" w:after="40" w:line="196" w:lineRule="auto"/>
              <w:ind w:right="726" w:hanging="301"/>
              <w:rPr>
                <w:rFonts w:asciiTheme="minorHAnsi" w:eastAsiaTheme="minorHAnsi" w:hAnsiTheme="minorHAnsi" w:cstheme="minorHAnsi"/>
                <w:spacing w:val="-2"/>
                <w:sz w:val="22"/>
                <w:szCs w:val="22"/>
                <w14:ligatures w14:val="standardContextual"/>
              </w:rPr>
            </w:pPr>
            <w:r w:rsidRPr="000F779A">
              <w:rPr>
                <w:rFonts w:asciiTheme="minorHAnsi" w:eastAsiaTheme="minorHAnsi" w:hAnsiTheme="minorHAnsi" w:cstheme="minorHAnsi"/>
                <w:position w:val="-4"/>
                <w:sz w:val="22"/>
                <w:szCs w:val="22"/>
                <w14:ligatures w14:val="standardContextual"/>
              </w:rPr>
              <w:tab/>
            </w:r>
            <w:r w:rsidRPr="000F779A">
              <w:rPr>
                <w:rFonts w:asciiTheme="minorHAnsi" w:eastAsiaTheme="minorHAnsi" w:hAnsiTheme="minorHAnsi" w:cstheme="minorHAnsi"/>
                <w:sz w:val="22"/>
                <w:szCs w:val="22"/>
                <w14:ligatures w14:val="standardContextual"/>
              </w:rPr>
              <w:t xml:space="preserve">Medicaid FFS </w:t>
            </w:r>
            <w:r w:rsidRPr="000F779A">
              <w:rPr>
                <w:rFonts w:asciiTheme="minorHAnsi" w:eastAsiaTheme="minorHAnsi" w:hAnsiTheme="minorHAnsi" w:cstheme="minorHAnsi"/>
                <w:spacing w:val="-2"/>
                <w:sz w:val="22"/>
                <w:szCs w:val="22"/>
                <w14:ligatures w14:val="standardContextual"/>
              </w:rPr>
              <w:t>program</w:t>
            </w:r>
          </w:p>
          <w:p w14:paraId="4798A73F" w14:textId="77777777" w:rsidR="0081139A" w:rsidRPr="000F779A" w:rsidRDefault="0081139A" w:rsidP="004A04DE">
            <w:pPr>
              <w:numPr>
                <w:ilvl w:val="0"/>
                <w:numId w:val="31"/>
              </w:numPr>
              <w:tabs>
                <w:tab w:val="left" w:pos="410"/>
              </w:tabs>
              <w:kinsoku w:val="0"/>
              <w:overflowPunct w:val="0"/>
              <w:autoSpaceDE w:val="0"/>
              <w:autoSpaceDN w:val="0"/>
              <w:adjustRightInd w:val="0"/>
              <w:spacing w:after="40" w:line="315" w:lineRule="exact"/>
              <w:ind w:left="410" w:hanging="297"/>
              <w:rPr>
                <w:rFonts w:asciiTheme="minorHAnsi" w:eastAsiaTheme="minorHAnsi" w:hAnsiTheme="minorHAnsi" w:cstheme="minorHAnsi"/>
                <w:w w:val="105"/>
                <w:sz w:val="22"/>
                <w:szCs w:val="22"/>
                <w14:ligatures w14:val="standardContextual"/>
              </w:rPr>
            </w:pPr>
            <w:r w:rsidRPr="000F779A">
              <w:rPr>
                <w:rFonts w:asciiTheme="minorHAnsi" w:eastAsiaTheme="minorHAnsi" w:hAnsiTheme="minorHAnsi" w:cstheme="minorHAnsi"/>
                <w:w w:val="105"/>
                <w:sz w:val="22"/>
                <w:szCs w:val="22"/>
                <w14:ligatures w14:val="standardContextual"/>
              </w:rPr>
              <w:t>CHIP FFS program</w:t>
            </w:r>
          </w:p>
        </w:tc>
        <w:tc>
          <w:tcPr>
            <w:tcW w:w="4770" w:type="dxa"/>
            <w:tcBorders>
              <w:top w:val="single" w:sz="4" w:space="0" w:color="000000"/>
              <w:left w:val="single" w:sz="4" w:space="0" w:color="000000"/>
              <w:bottom w:val="single" w:sz="4" w:space="0" w:color="000000"/>
              <w:right w:val="single" w:sz="4" w:space="0" w:color="000000"/>
            </w:tcBorders>
          </w:tcPr>
          <w:p w14:paraId="4654F461" w14:textId="69AABC40" w:rsidR="0081139A" w:rsidRPr="000F779A" w:rsidRDefault="0081139A" w:rsidP="004A04DE">
            <w:pPr>
              <w:numPr>
                <w:ilvl w:val="0"/>
                <w:numId w:val="30"/>
              </w:numPr>
              <w:tabs>
                <w:tab w:val="left" w:pos="413"/>
              </w:tabs>
              <w:kinsoku w:val="0"/>
              <w:overflowPunct w:val="0"/>
              <w:autoSpaceDE w:val="0"/>
              <w:autoSpaceDN w:val="0"/>
              <w:adjustRightInd w:val="0"/>
              <w:spacing w:before="27" w:after="40" w:line="196" w:lineRule="auto"/>
              <w:ind w:right="251" w:hanging="297"/>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position w:val="-4"/>
                <w:sz w:val="22"/>
                <w:szCs w:val="22"/>
                <w14:ligatures w14:val="standardContextual"/>
              </w:rPr>
              <w:tab/>
            </w:r>
            <w:r w:rsidRPr="000F779A">
              <w:rPr>
                <w:rFonts w:asciiTheme="minorHAnsi" w:eastAsiaTheme="minorHAnsi" w:hAnsiTheme="minorHAnsi" w:cstheme="minorHAnsi"/>
                <w:spacing w:val="-2"/>
                <w:sz w:val="22"/>
                <w:szCs w:val="22"/>
                <w14:ligatures w14:val="standardContextual"/>
              </w:rPr>
              <w:t>Medicaid</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pacing w:val="-2"/>
                <w:sz w:val="22"/>
                <w:szCs w:val="22"/>
                <w14:ligatures w14:val="standardContextual"/>
              </w:rPr>
              <w:t>FFS</w:t>
            </w:r>
            <w:r w:rsidRPr="000F779A">
              <w:rPr>
                <w:rFonts w:asciiTheme="minorHAnsi" w:eastAsiaTheme="minorHAnsi" w:hAnsiTheme="minorHAnsi" w:cstheme="minorHAnsi"/>
                <w:spacing w:val="-10"/>
                <w:sz w:val="22"/>
                <w:szCs w:val="22"/>
                <w14:ligatures w14:val="standardContextual"/>
              </w:rPr>
              <w:t xml:space="preserve"> </w:t>
            </w:r>
            <w:r w:rsidRPr="000F779A">
              <w:rPr>
                <w:rFonts w:asciiTheme="minorHAnsi" w:eastAsiaTheme="minorHAnsi" w:hAnsiTheme="minorHAnsi" w:cstheme="minorHAnsi"/>
                <w:spacing w:val="-2"/>
                <w:sz w:val="22"/>
                <w:szCs w:val="22"/>
                <w14:ligatures w14:val="standardContextual"/>
              </w:rPr>
              <w:t>program</w:t>
            </w:r>
            <w:r w:rsidRPr="000F779A">
              <w:rPr>
                <w:rFonts w:asciiTheme="minorHAnsi" w:eastAsiaTheme="minorHAnsi" w:hAnsiTheme="minorHAnsi" w:cstheme="minorHAnsi"/>
                <w:spacing w:val="-9"/>
                <w:sz w:val="22"/>
                <w:szCs w:val="22"/>
                <w14:ligatures w14:val="standardContextual"/>
              </w:rPr>
              <w:t xml:space="preserve"> </w:t>
            </w:r>
            <w:r w:rsidRPr="000F779A">
              <w:rPr>
                <w:rFonts w:asciiTheme="minorHAnsi" w:eastAsiaTheme="minorHAnsi" w:hAnsiTheme="minorHAnsi" w:cstheme="minorHAnsi"/>
                <w:spacing w:val="-2"/>
                <w:sz w:val="22"/>
                <w:szCs w:val="22"/>
                <w14:ligatures w14:val="standardContextual"/>
              </w:rPr>
              <w:t>with</w:t>
            </w:r>
            <w:r w:rsidR="00730ED1" w:rsidRPr="000F779A">
              <w:rPr>
                <w:rFonts w:asciiTheme="minorHAnsi" w:eastAsiaTheme="minorHAnsi" w:hAnsiTheme="minorHAnsi" w:cstheme="minorHAnsi"/>
                <w:spacing w:val="-2"/>
                <w:sz w:val="22"/>
                <w:szCs w:val="22"/>
                <w14:ligatures w14:val="standardContextual"/>
              </w:rPr>
              <w:t xml:space="preserve"> </w:t>
            </w:r>
            <w:r w:rsidR="00730ED1" w:rsidRPr="000F779A">
              <w:rPr>
                <w:rFonts w:asciiTheme="minorHAnsi" w:eastAsiaTheme="minorHAnsi" w:hAnsiTheme="minorHAnsi" w:cstheme="minorHAnsi"/>
                <w:spacing w:val="-12"/>
                <w:sz w:val="22"/>
                <w:szCs w:val="22"/>
                <w14:ligatures w14:val="standardContextual"/>
              </w:rPr>
              <w:t>≥</w:t>
            </w:r>
            <w:r w:rsidRPr="000F779A">
              <w:rPr>
                <w:rFonts w:asciiTheme="minorHAnsi" w:eastAsiaTheme="minorHAnsi" w:hAnsiTheme="minorHAnsi" w:cstheme="minorHAnsi"/>
                <w:spacing w:val="-2"/>
                <w:sz w:val="22"/>
                <w:szCs w:val="22"/>
                <w14:ligatures w14:val="standardContextual"/>
              </w:rPr>
              <w:t xml:space="preserve"> </w:t>
            </w:r>
            <w:r w:rsidR="007237DF" w:rsidRPr="000F779A">
              <w:rPr>
                <w:rFonts w:asciiTheme="minorHAnsi" w:eastAsiaTheme="minorHAnsi" w:hAnsiTheme="minorHAnsi" w:cstheme="minorHAnsi"/>
                <w:spacing w:val="-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90% in MCOs</w:t>
            </w:r>
          </w:p>
          <w:p w14:paraId="7EC65BE1" w14:textId="058FA3E8" w:rsidR="0081139A" w:rsidRPr="000F779A" w:rsidRDefault="0081139A" w:rsidP="004A04DE">
            <w:pPr>
              <w:numPr>
                <w:ilvl w:val="0"/>
                <w:numId w:val="30"/>
              </w:numPr>
              <w:tabs>
                <w:tab w:val="left" w:pos="404"/>
              </w:tabs>
              <w:kinsoku w:val="0"/>
              <w:overflowPunct w:val="0"/>
              <w:autoSpaceDE w:val="0"/>
              <w:autoSpaceDN w:val="0"/>
              <w:adjustRightInd w:val="0"/>
              <w:spacing w:after="40" w:line="288" w:lineRule="exact"/>
              <w:ind w:hanging="292"/>
              <w:rPr>
                <w:rFonts w:asciiTheme="minorHAnsi" w:eastAsiaTheme="minorHAnsi" w:hAnsiTheme="minorHAnsi" w:cstheme="minorHAnsi"/>
                <w:spacing w:val="-2"/>
                <w:w w:val="110"/>
                <w:sz w:val="22"/>
                <w:szCs w:val="22"/>
                <w14:ligatures w14:val="standardContextual"/>
              </w:rPr>
            </w:pPr>
            <w:r w:rsidRPr="000F779A">
              <w:rPr>
                <w:rFonts w:asciiTheme="minorHAnsi" w:eastAsiaTheme="minorHAnsi" w:hAnsiTheme="minorHAnsi" w:cstheme="minorHAnsi"/>
                <w:sz w:val="22"/>
                <w:szCs w:val="22"/>
                <w14:ligatures w14:val="standardContextual"/>
              </w:rPr>
              <w:t xml:space="preserve">CHIP FFS program with </w:t>
            </w:r>
            <w:r w:rsidR="007237DF" w:rsidRPr="000F779A">
              <w:rPr>
                <w:rFonts w:asciiTheme="minorHAnsi" w:eastAsiaTheme="minorHAnsi" w:hAnsiTheme="minorHAnsi" w:cstheme="minorHAnsi"/>
                <w:w w:val="75"/>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90%</w:t>
            </w:r>
            <w:r w:rsidR="002C52B7" w:rsidRPr="000F779A">
              <w:rPr>
                <w:rFonts w:asciiTheme="minorHAnsi" w:eastAsiaTheme="minorHAnsi" w:hAnsiTheme="minorHAnsi" w:cstheme="minorHAnsi"/>
                <w:sz w:val="22"/>
                <w:szCs w:val="22"/>
                <w14:ligatures w14:val="standardContextual"/>
              </w:rPr>
              <w:t xml:space="preserve"> i</w:t>
            </w:r>
            <w:r w:rsidRPr="000F779A">
              <w:rPr>
                <w:rFonts w:asciiTheme="minorHAnsi" w:eastAsiaTheme="minorHAnsi" w:hAnsiTheme="minorHAnsi" w:cstheme="minorHAnsi"/>
                <w:spacing w:val="-2"/>
                <w:w w:val="110"/>
                <w:sz w:val="22"/>
                <w:szCs w:val="22"/>
                <w14:ligatures w14:val="standardContextual"/>
              </w:rPr>
              <w:t>n</w:t>
            </w:r>
            <w:r w:rsidR="00D7001D" w:rsidRPr="000F779A">
              <w:rPr>
                <w:rFonts w:asciiTheme="minorHAnsi" w:eastAsiaTheme="minorHAnsi" w:hAnsiTheme="minorHAnsi" w:cstheme="minorHAnsi"/>
                <w:spacing w:val="-2"/>
                <w:w w:val="110"/>
                <w:sz w:val="22"/>
                <w:szCs w:val="22"/>
                <w14:ligatures w14:val="standardContextual"/>
              </w:rPr>
              <w:t xml:space="preserve"> </w:t>
            </w:r>
            <w:r w:rsidRPr="000F779A">
              <w:rPr>
                <w:rFonts w:asciiTheme="minorHAnsi" w:eastAsiaTheme="minorHAnsi" w:hAnsiTheme="minorHAnsi" w:cstheme="minorHAnsi"/>
                <w:spacing w:val="-2"/>
                <w:w w:val="110"/>
                <w:sz w:val="22"/>
                <w:szCs w:val="22"/>
                <w14:ligatures w14:val="standardContextual"/>
              </w:rPr>
              <w:t>MCOs</w:t>
            </w:r>
          </w:p>
        </w:tc>
      </w:tr>
      <w:tr w:rsidR="0081139A" w:rsidRPr="000F779A" w14:paraId="655BAB78" w14:textId="77777777" w:rsidTr="001D4C61">
        <w:trPr>
          <w:trHeight w:val="936"/>
          <w:jc w:val="center"/>
        </w:trPr>
        <w:tc>
          <w:tcPr>
            <w:tcW w:w="2970" w:type="dxa"/>
            <w:tcBorders>
              <w:top w:val="single" w:sz="4" w:space="0" w:color="000000"/>
              <w:left w:val="single" w:sz="4" w:space="0" w:color="000000"/>
              <w:bottom w:val="single" w:sz="4" w:space="0" w:color="000000"/>
              <w:right w:val="single" w:sz="4" w:space="0" w:color="000000"/>
            </w:tcBorders>
          </w:tcPr>
          <w:p w14:paraId="05B915A1" w14:textId="77777777" w:rsidR="0081139A" w:rsidRPr="000F779A" w:rsidRDefault="0081139A" w:rsidP="00260154">
            <w:pPr>
              <w:kinsoku w:val="0"/>
              <w:overflowPunct w:val="0"/>
              <w:autoSpaceDE w:val="0"/>
              <w:autoSpaceDN w:val="0"/>
              <w:adjustRightInd w:val="0"/>
              <w:spacing w:before="14" w:line="254" w:lineRule="auto"/>
              <w:ind w:left="118" w:right="192" w:hanging="2"/>
              <w:rPr>
                <w:rFonts w:asciiTheme="minorHAnsi" w:eastAsiaTheme="minorHAnsi" w:hAnsiTheme="minorHAnsi" w:cstheme="minorHAnsi"/>
                <w:spacing w:val="-4"/>
                <w:w w:val="105"/>
                <w:sz w:val="22"/>
                <w:szCs w:val="22"/>
                <w14:ligatures w14:val="standardContextual"/>
              </w:rPr>
            </w:pPr>
            <w:r w:rsidRPr="000F779A">
              <w:rPr>
                <w:rFonts w:asciiTheme="minorHAnsi" w:eastAsiaTheme="minorHAnsi" w:hAnsiTheme="minorHAnsi" w:cstheme="minorHAnsi"/>
                <w:spacing w:val="-2"/>
                <w:w w:val="105"/>
                <w:sz w:val="22"/>
                <w:szCs w:val="22"/>
                <w14:ligatures w14:val="standardContextual"/>
              </w:rPr>
              <w:t>Prior</w:t>
            </w:r>
            <w:r w:rsidRPr="000F779A">
              <w:rPr>
                <w:rFonts w:asciiTheme="minorHAnsi" w:eastAsiaTheme="minorHAnsi" w:hAnsiTheme="minorHAnsi" w:cstheme="minorHAnsi"/>
                <w:spacing w:val="-11"/>
                <w:w w:val="105"/>
                <w:sz w:val="22"/>
                <w:szCs w:val="22"/>
                <w14:ligatures w14:val="standardContextual"/>
              </w:rPr>
              <w:t xml:space="preserve"> </w:t>
            </w:r>
            <w:r w:rsidRPr="000F779A">
              <w:rPr>
                <w:rFonts w:asciiTheme="minorHAnsi" w:eastAsiaTheme="minorHAnsi" w:hAnsiTheme="minorHAnsi" w:cstheme="minorHAnsi"/>
                <w:spacing w:val="-2"/>
                <w:w w:val="105"/>
                <w:sz w:val="22"/>
                <w:szCs w:val="22"/>
                <w14:ligatures w14:val="standardContextual"/>
              </w:rPr>
              <w:t xml:space="preserve">Authorization </w:t>
            </w:r>
            <w:r w:rsidRPr="000F779A">
              <w:rPr>
                <w:rFonts w:asciiTheme="minorHAnsi" w:eastAsiaTheme="minorHAnsi" w:hAnsiTheme="minorHAnsi" w:cstheme="minorHAnsi"/>
                <w:spacing w:val="-4"/>
                <w:w w:val="105"/>
                <w:sz w:val="22"/>
                <w:szCs w:val="22"/>
                <w14:ligatures w14:val="standardContextual"/>
              </w:rPr>
              <w:t>API</w:t>
            </w:r>
          </w:p>
        </w:tc>
        <w:tc>
          <w:tcPr>
            <w:tcW w:w="4140" w:type="dxa"/>
            <w:tcBorders>
              <w:top w:val="single" w:sz="4" w:space="0" w:color="000000"/>
              <w:left w:val="single" w:sz="4" w:space="0" w:color="000000"/>
              <w:bottom w:val="single" w:sz="4" w:space="0" w:color="000000"/>
              <w:right w:val="single" w:sz="4" w:space="0" w:color="000000"/>
            </w:tcBorders>
          </w:tcPr>
          <w:p w14:paraId="287F786A" w14:textId="77777777" w:rsidR="0081139A" w:rsidRPr="000F779A" w:rsidRDefault="0081139A" w:rsidP="004A04DE">
            <w:pPr>
              <w:numPr>
                <w:ilvl w:val="0"/>
                <w:numId w:val="28"/>
              </w:numPr>
              <w:tabs>
                <w:tab w:val="left" w:pos="408"/>
              </w:tabs>
              <w:kinsoku w:val="0"/>
              <w:overflowPunct w:val="0"/>
              <w:autoSpaceDE w:val="0"/>
              <w:autoSpaceDN w:val="0"/>
              <w:adjustRightInd w:val="0"/>
              <w:spacing w:before="17" w:after="40" w:line="196" w:lineRule="auto"/>
              <w:ind w:right="311" w:hanging="296"/>
              <w:rPr>
                <w:rFonts w:asciiTheme="minorHAnsi" w:eastAsiaTheme="minorHAnsi" w:hAnsiTheme="minorHAnsi" w:cstheme="minorHAnsi"/>
                <w:spacing w:val="-2"/>
                <w:w w:val="105"/>
                <w:sz w:val="22"/>
                <w:szCs w:val="22"/>
                <w14:ligatures w14:val="standardContextual"/>
              </w:rPr>
            </w:pPr>
            <w:r w:rsidRPr="000F779A">
              <w:rPr>
                <w:rFonts w:asciiTheme="minorHAnsi" w:eastAsiaTheme="minorHAnsi" w:hAnsiTheme="minorHAnsi" w:cstheme="minorHAnsi"/>
                <w:w w:val="105"/>
                <w:sz w:val="22"/>
                <w:szCs w:val="22"/>
                <w14:ligatures w14:val="standardContextual"/>
              </w:rPr>
              <w:t>Medicaid</w:t>
            </w:r>
            <w:r w:rsidRPr="000F779A">
              <w:rPr>
                <w:rFonts w:asciiTheme="minorHAnsi" w:eastAsiaTheme="minorHAnsi" w:hAnsiTheme="minorHAnsi" w:cstheme="minorHAnsi"/>
                <w:spacing w:val="-13"/>
                <w:w w:val="105"/>
                <w:sz w:val="22"/>
                <w:szCs w:val="22"/>
                <w14:ligatures w14:val="standardContextual"/>
              </w:rPr>
              <w:t xml:space="preserve"> </w:t>
            </w:r>
            <w:r w:rsidRPr="000F779A">
              <w:rPr>
                <w:rFonts w:asciiTheme="minorHAnsi" w:eastAsiaTheme="minorHAnsi" w:hAnsiTheme="minorHAnsi" w:cstheme="minorHAnsi"/>
                <w:w w:val="105"/>
                <w:sz w:val="22"/>
                <w:szCs w:val="22"/>
                <w14:ligatures w14:val="standardContextual"/>
              </w:rPr>
              <w:t>FFS</w:t>
            </w:r>
            <w:r w:rsidRPr="000F779A">
              <w:rPr>
                <w:rFonts w:asciiTheme="minorHAnsi" w:eastAsiaTheme="minorHAnsi" w:hAnsiTheme="minorHAnsi" w:cstheme="minorHAnsi"/>
                <w:spacing w:val="-12"/>
                <w:w w:val="105"/>
                <w:sz w:val="22"/>
                <w:szCs w:val="22"/>
                <w14:ligatures w14:val="standardContextual"/>
              </w:rPr>
              <w:t xml:space="preserve"> </w:t>
            </w:r>
            <w:r w:rsidRPr="000F779A">
              <w:rPr>
                <w:rFonts w:asciiTheme="minorHAnsi" w:eastAsiaTheme="minorHAnsi" w:hAnsiTheme="minorHAnsi" w:cstheme="minorHAnsi"/>
                <w:w w:val="105"/>
                <w:sz w:val="22"/>
                <w:szCs w:val="22"/>
                <w14:ligatures w14:val="standardContextual"/>
              </w:rPr>
              <w:t xml:space="preserve">state </w:t>
            </w:r>
            <w:r w:rsidRPr="000F779A">
              <w:rPr>
                <w:rFonts w:asciiTheme="minorHAnsi" w:eastAsiaTheme="minorHAnsi" w:hAnsiTheme="minorHAnsi" w:cstheme="minorHAnsi"/>
                <w:spacing w:val="-2"/>
                <w:w w:val="105"/>
                <w:sz w:val="22"/>
                <w:szCs w:val="22"/>
                <w14:ligatures w14:val="standardContextual"/>
              </w:rPr>
              <w:t>program</w:t>
            </w:r>
          </w:p>
          <w:p w14:paraId="3D3B3374" w14:textId="77777777" w:rsidR="0081139A" w:rsidRPr="000F779A" w:rsidRDefault="0081139A" w:rsidP="004A04DE">
            <w:pPr>
              <w:numPr>
                <w:ilvl w:val="0"/>
                <w:numId w:val="28"/>
              </w:numPr>
              <w:tabs>
                <w:tab w:val="left" w:pos="410"/>
              </w:tabs>
              <w:kinsoku w:val="0"/>
              <w:overflowPunct w:val="0"/>
              <w:autoSpaceDE w:val="0"/>
              <w:autoSpaceDN w:val="0"/>
              <w:adjustRightInd w:val="0"/>
              <w:spacing w:after="40" w:line="315" w:lineRule="exact"/>
              <w:ind w:left="410"/>
              <w:rPr>
                <w:rFonts w:asciiTheme="minorHAnsi" w:eastAsiaTheme="minorHAnsi" w:hAnsiTheme="minorHAnsi" w:cstheme="minorHAnsi"/>
                <w:w w:val="105"/>
                <w:sz w:val="22"/>
                <w:szCs w:val="22"/>
                <w14:ligatures w14:val="standardContextual"/>
              </w:rPr>
            </w:pPr>
            <w:r w:rsidRPr="000F779A">
              <w:rPr>
                <w:rFonts w:asciiTheme="minorHAnsi" w:eastAsiaTheme="minorHAnsi" w:hAnsiTheme="minorHAnsi" w:cstheme="minorHAnsi"/>
                <w:w w:val="105"/>
                <w:sz w:val="22"/>
                <w:szCs w:val="22"/>
                <w14:ligatures w14:val="standardContextual"/>
              </w:rPr>
              <w:t>CHIP FFS program</w:t>
            </w:r>
          </w:p>
        </w:tc>
        <w:tc>
          <w:tcPr>
            <w:tcW w:w="4770" w:type="dxa"/>
            <w:tcBorders>
              <w:top w:val="single" w:sz="4" w:space="0" w:color="000000"/>
              <w:left w:val="single" w:sz="4" w:space="0" w:color="000000"/>
              <w:bottom w:val="single" w:sz="4" w:space="0" w:color="000000"/>
              <w:right w:val="single" w:sz="4" w:space="0" w:color="000000"/>
            </w:tcBorders>
          </w:tcPr>
          <w:p w14:paraId="2331C4C8" w14:textId="3B69DC04" w:rsidR="0081139A" w:rsidRPr="000F779A" w:rsidRDefault="0081139A" w:rsidP="004A04DE">
            <w:pPr>
              <w:numPr>
                <w:ilvl w:val="0"/>
                <w:numId w:val="27"/>
              </w:numPr>
              <w:tabs>
                <w:tab w:val="left" w:pos="404"/>
              </w:tabs>
              <w:kinsoku w:val="0"/>
              <w:overflowPunct w:val="0"/>
              <w:autoSpaceDE w:val="0"/>
              <w:autoSpaceDN w:val="0"/>
              <w:adjustRightInd w:val="0"/>
              <w:spacing w:before="12" w:after="40" w:line="196" w:lineRule="auto"/>
              <w:ind w:right="246"/>
              <w:rPr>
                <w:rFonts w:asciiTheme="minorHAnsi" w:eastAsiaTheme="minorHAnsi" w:hAnsiTheme="minorHAnsi" w:cstheme="minorHAnsi"/>
                <w:sz w:val="22"/>
                <w:szCs w:val="22"/>
                <w14:ligatures w14:val="standardContextual"/>
              </w:rPr>
            </w:pPr>
            <w:r w:rsidRPr="000F779A">
              <w:rPr>
                <w:rFonts w:asciiTheme="minorHAnsi" w:eastAsiaTheme="minorHAnsi" w:hAnsiTheme="minorHAnsi" w:cstheme="minorHAnsi"/>
                <w:sz w:val="22"/>
                <w:szCs w:val="22"/>
                <w14:ligatures w14:val="standardContextual"/>
              </w:rPr>
              <w:t>Medicaid</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FFS</w:t>
            </w:r>
            <w:r w:rsidRPr="000F779A">
              <w:rPr>
                <w:rFonts w:asciiTheme="minorHAnsi" w:eastAsiaTheme="minorHAnsi" w:hAnsiTheme="minorHAnsi" w:cstheme="minorHAnsi"/>
                <w:spacing w:val="-12"/>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program</w:t>
            </w:r>
            <w:r w:rsidRPr="000F779A">
              <w:rPr>
                <w:rFonts w:asciiTheme="minorHAnsi" w:eastAsiaTheme="minorHAnsi" w:hAnsiTheme="minorHAnsi" w:cstheme="minorHAnsi"/>
                <w:spacing w:val="-3"/>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with</w:t>
            </w:r>
            <w:r w:rsidR="00D7001D" w:rsidRPr="000F779A">
              <w:rPr>
                <w:rFonts w:asciiTheme="minorHAnsi" w:eastAsiaTheme="minorHAnsi" w:hAnsiTheme="minorHAnsi" w:cstheme="minorHAnsi"/>
                <w:sz w:val="22"/>
                <w:szCs w:val="22"/>
                <w14:ligatures w14:val="standardContextual"/>
              </w:rPr>
              <w:t xml:space="preserve"> </w:t>
            </w:r>
            <w:r w:rsidRPr="000F779A">
              <w:rPr>
                <w:rFonts w:asciiTheme="minorHAnsi" w:eastAsiaTheme="minorHAnsi" w:hAnsiTheme="minorHAnsi" w:cstheme="minorHAnsi"/>
                <w:spacing w:val="-12"/>
                <w:sz w:val="22"/>
                <w:szCs w:val="22"/>
                <w14:ligatures w14:val="standardContextual"/>
              </w:rPr>
              <w:t xml:space="preserve"> </w:t>
            </w:r>
            <w:r w:rsidR="00D7001D" w:rsidRPr="000F779A">
              <w:rPr>
                <w:rFonts w:asciiTheme="minorHAnsi" w:eastAsiaTheme="minorHAnsi" w:hAnsiTheme="minorHAnsi" w:cstheme="minorHAnsi"/>
                <w:w w:val="75"/>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90% in</w:t>
            </w:r>
            <w:r w:rsidR="00D7001D" w:rsidRPr="000F779A">
              <w:rPr>
                <w:rFonts w:asciiTheme="minorHAnsi" w:eastAsiaTheme="minorHAnsi" w:hAnsiTheme="minorHAnsi" w:cstheme="minorHAnsi"/>
                <w:sz w:val="22"/>
                <w:szCs w:val="22"/>
                <w14:ligatures w14:val="standardContextual"/>
              </w:rPr>
              <w:t xml:space="preserve"> </w:t>
            </w:r>
            <w:r w:rsidRPr="000F779A">
              <w:rPr>
                <w:rFonts w:asciiTheme="minorHAnsi" w:eastAsiaTheme="minorHAnsi" w:hAnsiTheme="minorHAnsi" w:cstheme="minorHAnsi"/>
                <w:sz w:val="22"/>
                <w:szCs w:val="22"/>
                <w14:ligatures w14:val="standardContextual"/>
              </w:rPr>
              <w:t>MCOs</w:t>
            </w:r>
          </w:p>
          <w:p w14:paraId="6BB8E052" w14:textId="28529F59" w:rsidR="0081139A" w:rsidRPr="000F779A" w:rsidRDefault="0081139A" w:rsidP="004A04DE">
            <w:pPr>
              <w:numPr>
                <w:ilvl w:val="0"/>
                <w:numId w:val="27"/>
              </w:numPr>
              <w:tabs>
                <w:tab w:val="left" w:pos="404"/>
              </w:tabs>
              <w:kinsoku w:val="0"/>
              <w:overflowPunct w:val="0"/>
              <w:autoSpaceDE w:val="0"/>
              <w:autoSpaceDN w:val="0"/>
              <w:adjustRightInd w:val="0"/>
              <w:spacing w:after="40" w:line="290" w:lineRule="exact"/>
              <w:ind w:hanging="292"/>
              <w:rPr>
                <w:rFonts w:asciiTheme="minorHAnsi" w:eastAsiaTheme="minorHAnsi" w:hAnsiTheme="minorHAnsi" w:cstheme="minorHAnsi"/>
                <w:w w:val="110"/>
                <w:sz w:val="22"/>
                <w:szCs w:val="22"/>
                <w14:ligatures w14:val="standardContextual"/>
              </w:rPr>
            </w:pPr>
            <w:r w:rsidRPr="000F779A">
              <w:rPr>
                <w:rFonts w:asciiTheme="minorHAnsi" w:eastAsiaTheme="minorHAnsi" w:hAnsiTheme="minorHAnsi" w:cstheme="minorHAnsi"/>
                <w:sz w:val="22"/>
                <w:szCs w:val="22"/>
                <w14:ligatures w14:val="standardContextual"/>
              </w:rPr>
              <w:t xml:space="preserve">CHIP FFS state agency with </w:t>
            </w:r>
            <w:r w:rsidR="00D7001D" w:rsidRPr="000F779A">
              <w:rPr>
                <w:rFonts w:asciiTheme="minorHAnsi" w:eastAsiaTheme="minorHAnsi" w:hAnsiTheme="minorHAnsi" w:cstheme="minorHAnsi"/>
                <w:w w:val="70"/>
                <w:sz w:val="22"/>
                <w:szCs w:val="22"/>
                <w14:ligatures w14:val="standardContextual"/>
              </w:rPr>
              <w:t>≥</w:t>
            </w:r>
            <w:r w:rsidR="002C52B7" w:rsidRPr="000F779A">
              <w:rPr>
                <w:rFonts w:asciiTheme="minorHAnsi" w:eastAsiaTheme="minorHAnsi" w:hAnsiTheme="minorHAnsi" w:cstheme="minorHAnsi"/>
                <w:w w:val="70"/>
                <w:sz w:val="22"/>
                <w:szCs w:val="22"/>
                <w14:ligatures w14:val="standardContextual"/>
              </w:rPr>
              <w:t xml:space="preserve"> </w:t>
            </w:r>
            <w:r w:rsidRPr="000F779A">
              <w:rPr>
                <w:rFonts w:asciiTheme="minorHAnsi" w:eastAsiaTheme="minorHAnsi" w:hAnsiTheme="minorHAnsi" w:cstheme="minorHAnsi"/>
                <w:w w:val="110"/>
                <w:sz w:val="22"/>
                <w:szCs w:val="22"/>
                <w14:ligatures w14:val="standardContextual"/>
              </w:rPr>
              <w:t>90% in</w:t>
            </w:r>
            <w:r w:rsidR="002C52B7" w:rsidRPr="000F779A">
              <w:rPr>
                <w:rFonts w:asciiTheme="minorHAnsi" w:eastAsiaTheme="minorHAnsi" w:hAnsiTheme="minorHAnsi" w:cstheme="minorHAnsi"/>
                <w:w w:val="110"/>
                <w:sz w:val="22"/>
                <w:szCs w:val="22"/>
                <w14:ligatures w14:val="standardContextual"/>
              </w:rPr>
              <w:t xml:space="preserve"> </w:t>
            </w:r>
            <w:r w:rsidRPr="000F779A">
              <w:rPr>
                <w:rFonts w:asciiTheme="minorHAnsi" w:eastAsiaTheme="minorHAnsi" w:hAnsiTheme="minorHAnsi" w:cstheme="minorHAnsi"/>
                <w:w w:val="110"/>
                <w:sz w:val="22"/>
                <w:szCs w:val="22"/>
                <w14:ligatures w14:val="standardContextual"/>
              </w:rPr>
              <w:t>MCOs</w:t>
            </w:r>
          </w:p>
        </w:tc>
      </w:tr>
    </w:tbl>
    <w:p w14:paraId="09BA5085" w14:textId="6E229D32" w:rsidR="00914160" w:rsidRPr="000F779A" w:rsidRDefault="00375499" w:rsidP="0030647F">
      <w:pPr>
        <w:ind w:left="540"/>
        <w:rPr>
          <w:rFonts w:asciiTheme="minorHAnsi" w:hAnsiTheme="minorHAnsi" w:cstheme="minorHAnsi"/>
          <w:sz w:val="18"/>
          <w:szCs w:val="18"/>
        </w:rPr>
      </w:pPr>
      <w:r w:rsidRPr="000F779A">
        <w:rPr>
          <w:rFonts w:asciiTheme="minorHAnsi" w:hAnsiTheme="minorHAnsi" w:cstheme="minorHAnsi"/>
          <w:sz w:val="18"/>
          <w:szCs w:val="18"/>
        </w:rPr>
        <w:t>*NEMT PAHPs are not subject to the Provider Access and Payer-to-Payer API requirements and do not need to apply to CMS for this exemption.</w:t>
      </w:r>
    </w:p>
    <w:p w14:paraId="711171B1" w14:textId="77777777" w:rsidR="002A40CB" w:rsidRPr="000F779A" w:rsidRDefault="002A40CB" w:rsidP="000057DC">
      <w:pPr>
        <w:rPr>
          <w:rFonts w:asciiTheme="minorHAnsi" w:hAnsiTheme="minorHAnsi" w:cstheme="minorHAnsi"/>
          <w:sz w:val="18"/>
          <w:szCs w:val="18"/>
        </w:rPr>
      </w:pPr>
    </w:p>
    <w:p w14:paraId="7A6FB16C" w14:textId="35F035ED" w:rsidR="00013558" w:rsidRPr="000F779A" w:rsidRDefault="00450D8B" w:rsidP="00B410AC">
      <w:pPr>
        <w:pageBreakBefore/>
        <w:jc w:val="center"/>
        <w:rPr>
          <w:rFonts w:asciiTheme="minorHAnsi" w:hAnsiTheme="minorHAnsi" w:cstheme="minorHAnsi"/>
          <w:b/>
          <w:bCs/>
          <w:sz w:val="22"/>
          <w:szCs w:val="22"/>
        </w:rPr>
      </w:pPr>
      <w:r w:rsidRPr="000F779A">
        <w:rPr>
          <w:rFonts w:asciiTheme="minorHAnsi" w:hAnsiTheme="minorHAnsi" w:cstheme="minorHAnsi"/>
          <w:b/>
          <w:bCs/>
          <w:sz w:val="22"/>
          <w:szCs w:val="22"/>
        </w:rPr>
        <w:lastRenderedPageBreak/>
        <w:t xml:space="preserve">Required Standards and Recommended Implementation Guides </w:t>
      </w:r>
      <w:r w:rsidR="00B410AC" w:rsidRPr="000F779A">
        <w:rPr>
          <w:rFonts w:asciiTheme="minorHAnsi" w:hAnsiTheme="minorHAnsi" w:cstheme="minorHAnsi"/>
          <w:b/>
          <w:bCs/>
          <w:sz w:val="22"/>
          <w:szCs w:val="22"/>
        </w:rPr>
        <w:t>to Support API Implementation</w:t>
      </w:r>
    </w:p>
    <w:p w14:paraId="2108C877" w14:textId="49E8175D" w:rsidR="002D18BD" w:rsidRPr="000F779A" w:rsidRDefault="00CC01CD" w:rsidP="002D18BD">
      <w:pPr>
        <w:jc w:val="center"/>
        <w:rPr>
          <w:rFonts w:asciiTheme="minorHAnsi" w:hAnsiTheme="minorHAnsi" w:cstheme="minorHAnsi"/>
          <w:b/>
          <w:bCs/>
          <w:sz w:val="22"/>
          <w:szCs w:val="22"/>
        </w:rPr>
      </w:pPr>
      <w:r w:rsidRPr="000F779A">
        <w:rPr>
          <w:rFonts w:asciiTheme="minorHAnsi" w:hAnsiTheme="minorHAnsi" w:cstheme="minorHAnsi"/>
          <w:b/>
          <w:bCs/>
          <w:sz w:val="22"/>
          <w:szCs w:val="22"/>
        </w:rPr>
        <w:t>(Table H3—Page 8945)</w:t>
      </w:r>
    </w:p>
    <w:tbl>
      <w:tblPr>
        <w:tblStyle w:val="TableGrid"/>
        <w:tblW w:w="0" w:type="auto"/>
        <w:tblLook w:val="04A0" w:firstRow="1" w:lastRow="0" w:firstColumn="1" w:lastColumn="0" w:noHBand="0" w:noVBand="1"/>
      </w:tblPr>
      <w:tblGrid>
        <w:gridCol w:w="2875"/>
        <w:gridCol w:w="5037"/>
        <w:gridCol w:w="5038"/>
      </w:tblGrid>
      <w:tr w:rsidR="00054DC2" w:rsidRPr="000F779A" w14:paraId="770D1BE5" w14:textId="77777777" w:rsidTr="003D3939">
        <w:trPr>
          <w:trHeight w:val="245"/>
          <w:tblHeader/>
        </w:trPr>
        <w:tc>
          <w:tcPr>
            <w:tcW w:w="2875" w:type="dxa"/>
            <w:shd w:val="clear" w:color="auto" w:fill="0070C0"/>
          </w:tcPr>
          <w:p w14:paraId="223E5844" w14:textId="2286A6D8" w:rsidR="00054DC2" w:rsidRPr="000F779A" w:rsidRDefault="00F75C4A" w:rsidP="0017585B">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color w:val="FFFFFF" w:themeColor="background1"/>
                <w:sz w:val="22"/>
                <w:szCs w:val="22"/>
              </w:rPr>
              <w:t>API</w:t>
            </w:r>
          </w:p>
        </w:tc>
        <w:tc>
          <w:tcPr>
            <w:tcW w:w="5037" w:type="dxa"/>
            <w:shd w:val="clear" w:color="auto" w:fill="0070C0"/>
          </w:tcPr>
          <w:p w14:paraId="4CCCFDD2" w14:textId="3C2F4906" w:rsidR="00054DC2" w:rsidRPr="000F779A" w:rsidRDefault="00C74D36" w:rsidP="0017585B">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i/>
                <w:iCs/>
                <w:color w:val="FFFFFF" w:themeColor="background1"/>
                <w:sz w:val="22"/>
                <w:szCs w:val="22"/>
              </w:rPr>
              <w:t>Required</w:t>
            </w:r>
            <w:r w:rsidRPr="000F779A">
              <w:rPr>
                <w:rFonts w:asciiTheme="minorHAnsi" w:hAnsiTheme="minorHAnsi" w:cstheme="minorHAnsi"/>
                <w:b/>
                <w:bCs/>
                <w:color w:val="FFFFFF" w:themeColor="background1"/>
                <w:sz w:val="22"/>
                <w:szCs w:val="22"/>
              </w:rPr>
              <w:t xml:space="preserve"> Standards</w:t>
            </w:r>
          </w:p>
        </w:tc>
        <w:tc>
          <w:tcPr>
            <w:tcW w:w="5038" w:type="dxa"/>
            <w:shd w:val="clear" w:color="auto" w:fill="0070C0"/>
          </w:tcPr>
          <w:p w14:paraId="6F324850" w14:textId="0F7C722F" w:rsidR="00054DC2" w:rsidRPr="000F779A" w:rsidRDefault="00C74D36" w:rsidP="0017585B">
            <w:pPr>
              <w:spacing w:before="160" w:after="160"/>
              <w:jc w:val="center"/>
              <w:rPr>
                <w:rFonts w:asciiTheme="minorHAnsi" w:hAnsiTheme="minorHAnsi" w:cstheme="minorHAnsi"/>
                <w:b/>
                <w:bCs/>
                <w:color w:val="FFFFFF" w:themeColor="background1"/>
                <w:sz w:val="22"/>
                <w:szCs w:val="22"/>
              </w:rPr>
            </w:pPr>
            <w:r w:rsidRPr="000F779A">
              <w:rPr>
                <w:rFonts w:asciiTheme="minorHAnsi" w:hAnsiTheme="minorHAnsi" w:cstheme="minorHAnsi"/>
                <w:b/>
                <w:bCs/>
                <w:i/>
                <w:iCs/>
                <w:color w:val="FFFFFF" w:themeColor="background1"/>
                <w:sz w:val="22"/>
                <w:szCs w:val="22"/>
              </w:rPr>
              <w:t>Recommended</w:t>
            </w:r>
            <w:r w:rsidRPr="000F779A">
              <w:rPr>
                <w:rFonts w:asciiTheme="minorHAnsi" w:hAnsiTheme="minorHAnsi" w:cstheme="minorHAnsi"/>
                <w:b/>
                <w:bCs/>
                <w:color w:val="FFFFFF" w:themeColor="background1"/>
                <w:sz w:val="22"/>
                <w:szCs w:val="22"/>
              </w:rPr>
              <w:t xml:space="preserve"> Implementation Guides</w:t>
            </w:r>
          </w:p>
        </w:tc>
      </w:tr>
      <w:tr w:rsidR="00054DC2" w:rsidRPr="000F779A" w14:paraId="7EE3F862" w14:textId="77777777" w:rsidTr="00054DC2">
        <w:tc>
          <w:tcPr>
            <w:tcW w:w="2875" w:type="dxa"/>
          </w:tcPr>
          <w:p w14:paraId="4CF423B1" w14:textId="1C42F549" w:rsidR="00054DC2" w:rsidRPr="000F779A" w:rsidRDefault="00F34B39" w:rsidP="000057DC">
            <w:pPr>
              <w:rPr>
                <w:rFonts w:asciiTheme="minorHAnsi" w:hAnsiTheme="minorHAnsi" w:cstheme="minorHAnsi"/>
                <w:sz w:val="22"/>
                <w:szCs w:val="22"/>
              </w:rPr>
            </w:pPr>
            <w:r w:rsidRPr="000F779A">
              <w:rPr>
                <w:rFonts w:asciiTheme="minorHAnsi" w:hAnsiTheme="minorHAnsi" w:cstheme="minorHAnsi"/>
                <w:sz w:val="22"/>
                <w:szCs w:val="22"/>
              </w:rPr>
              <w:t>Patient Access API</w:t>
            </w:r>
          </w:p>
        </w:tc>
        <w:tc>
          <w:tcPr>
            <w:tcW w:w="5037" w:type="dxa"/>
          </w:tcPr>
          <w:p w14:paraId="282BA9BC" w14:textId="36E0FEAD" w:rsidR="00296D08" w:rsidRPr="000F779A" w:rsidRDefault="00296D08" w:rsidP="00E8301C">
            <w:pPr>
              <w:spacing w:after="160"/>
              <w:rPr>
                <w:rFonts w:asciiTheme="minorHAnsi" w:hAnsiTheme="minorHAnsi" w:cstheme="minorHAnsi"/>
                <w:sz w:val="22"/>
                <w:szCs w:val="22"/>
              </w:rPr>
            </w:pPr>
            <w:r w:rsidRPr="000F779A">
              <w:rPr>
                <w:rFonts w:asciiTheme="minorHAnsi" w:hAnsiTheme="minorHAnsi" w:cstheme="minorHAnsi"/>
                <w:sz w:val="22"/>
                <w:szCs w:val="22"/>
              </w:rPr>
              <w:t>45 CFR 170.215(a)(l) HL7 FHlR</w:t>
            </w:r>
            <w:r w:rsidR="00E8301C" w:rsidRPr="000F779A">
              <w:rPr>
                <w:rFonts w:asciiTheme="minorHAnsi" w:hAnsiTheme="minorHAnsi" w:cstheme="minorHAnsi"/>
                <w:sz w:val="22"/>
                <w:szCs w:val="22"/>
              </w:rPr>
              <w:t xml:space="preserve"> </w:t>
            </w:r>
            <w:r w:rsidRPr="000F779A">
              <w:rPr>
                <w:rFonts w:asciiTheme="minorHAnsi" w:hAnsiTheme="minorHAnsi" w:cstheme="minorHAnsi"/>
                <w:sz w:val="22"/>
                <w:szCs w:val="22"/>
              </w:rPr>
              <w:t>Release</w:t>
            </w:r>
            <w:r w:rsidR="00E8301C" w:rsidRPr="000F779A">
              <w:rPr>
                <w:rFonts w:asciiTheme="minorHAnsi" w:hAnsiTheme="minorHAnsi" w:cstheme="minorHAnsi"/>
                <w:sz w:val="22"/>
                <w:szCs w:val="22"/>
              </w:rPr>
              <w:t xml:space="preserve"> </w:t>
            </w:r>
            <w:r w:rsidRPr="000F779A">
              <w:rPr>
                <w:rFonts w:asciiTheme="minorHAnsi" w:hAnsiTheme="minorHAnsi" w:cstheme="minorHAnsi"/>
                <w:sz w:val="22"/>
                <w:szCs w:val="22"/>
              </w:rPr>
              <w:t>4.0.l</w:t>
            </w:r>
          </w:p>
          <w:p w14:paraId="20DABB4C" w14:textId="77777777" w:rsidR="00E8301C" w:rsidRPr="000F779A" w:rsidRDefault="00E8301C" w:rsidP="00E8301C">
            <w:pPr>
              <w:rPr>
                <w:rFonts w:asciiTheme="minorHAnsi" w:hAnsiTheme="minorHAnsi" w:cstheme="minorHAnsi"/>
                <w:sz w:val="22"/>
                <w:szCs w:val="22"/>
              </w:rPr>
            </w:pPr>
            <w:r w:rsidRPr="000F779A">
              <w:rPr>
                <w:rFonts w:asciiTheme="minorHAnsi" w:hAnsiTheme="minorHAnsi" w:cstheme="minorHAnsi"/>
                <w:sz w:val="22"/>
                <w:szCs w:val="22"/>
              </w:rPr>
              <w:t>45 CFR l 70.215(b)(l)(i) HL7 FHIR US Core IG</w:t>
            </w:r>
          </w:p>
          <w:p w14:paraId="44E969D6" w14:textId="498E1E5E" w:rsidR="00054DC2" w:rsidRPr="000F779A" w:rsidRDefault="00E8301C" w:rsidP="00E8301C">
            <w:pPr>
              <w:spacing w:after="160"/>
              <w:rPr>
                <w:rFonts w:asciiTheme="minorHAnsi" w:hAnsiTheme="minorHAnsi" w:cstheme="minorHAnsi"/>
                <w:sz w:val="22"/>
                <w:szCs w:val="22"/>
              </w:rPr>
            </w:pPr>
            <w:r w:rsidRPr="000F779A">
              <w:rPr>
                <w:rFonts w:asciiTheme="minorHAnsi" w:hAnsiTheme="minorHAnsi" w:cstheme="minorHAnsi"/>
                <w:sz w:val="22"/>
                <w:szCs w:val="22"/>
              </w:rPr>
              <w:t>STU</w:t>
            </w:r>
            <w:r w:rsidR="005A335F" w:rsidRPr="000F779A">
              <w:rPr>
                <w:rFonts w:asciiTheme="minorHAnsi" w:hAnsiTheme="minorHAnsi" w:cstheme="minorHAnsi"/>
                <w:sz w:val="22"/>
                <w:szCs w:val="22"/>
              </w:rPr>
              <w:t xml:space="preserve"> </w:t>
            </w:r>
            <w:r w:rsidRPr="000F779A">
              <w:rPr>
                <w:rFonts w:asciiTheme="minorHAnsi" w:hAnsiTheme="minorHAnsi" w:cstheme="minorHAnsi"/>
                <w:sz w:val="22"/>
                <w:szCs w:val="22"/>
              </w:rPr>
              <w:t>3.l.l.***</w:t>
            </w:r>
          </w:p>
          <w:p w14:paraId="05E68D41" w14:textId="77777777" w:rsidR="005A335F" w:rsidRPr="000F779A" w:rsidRDefault="00555628" w:rsidP="00E8301C">
            <w:pPr>
              <w:spacing w:after="160"/>
              <w:rPr>
                <w:rFonts w:asciiTheme="minorHAnsi" w:hAnsiTheme="minorHAnsi" w:cstheme="minorHAnsi"/>
                <w:sz w:val="22"/>
                <w:szCs w:val="22"/>
              </w:rPr>
            </w:pPr>
            <w:r w:rsidRPr="000F779A">
              <w:rPr>
                <w:rFonts w:asciiTheme="minorHAnsi" w:hAnsiTheme="minorHAnsi" w:cstheme="minorHAnsi"/>
                <w:sz w:val="22"/>
                <w:szCs w:val="22"/>
              </w:rPr>
              <w:t>45 CFR 170.215(c)(l) HL7 SMART Application Launch Framework IG Release 1.0.0.***</w:t>
            </w:r>
          </w:p>
          <w:p w14:paraId="4D0A0EBF" w14:textId="0B589C8B" w:rsidR="00555628" w:rsidRPr="000F779A" w:rsidRDefault="0079766D" w:rsidP="00E8301C">
            <w:pPr>
              <w:spacing w:after="160"/>
              <w:rPr>
                <w:rFonts w:asciiTheme="minorHAnsi" w:hAnsiTheme="minorHAnsi" w:cstheme="minorHAnsi"/>
                <w:sz w:val="22"/>
                <w:szCs w:val="22"/>
              </w:rPr>
            </w:pPr>
            <w:r w:rsidRPr="000F779A">
              <w:rPr>
                <w:rFonts w:asciiTheme="minorHAnsi" w:hAnsiTheme="minorHAnsi" w:cstheme="minorHAnsi"/>
                <w:sz w:val="22"/>
                <w:szCs w:val="22"/>
              </w:rPr>
              <w:t>45 CFR l 70.215(e)(l) Open ID Connect Core 1.0, incorporating errata set 1</w:t>
            </w:r>
          </w:p>
        </w:tc>
        <w:tc>
          <w:tcPr>
            <w:tcW w:w="5038" w:type="dxa"/>
          </w:tcPr>
          <w:p w14:paraId="5B3744A0" w14:textId="053560BB" w:rsidR="00054DC2" w:rsidRPr="000F779A" w:rsidRDefault="000F7DF3" w:rsidP="00C40846">
            <w:pPr>
              <w:spacing w:after="160"/>
              <w:rPr>
                <w:rStyle w:val="Hyperlink"/>
                <w:rFonts w:asciiTheme="minorHAnsi" w:hAnsiTheme="minorHAnsi" w:cstheme="minorHAnsi"/>
              </w:rPr>
            </w:pPr>
            <w:r w:rsidRPr="000F779A">
              <w:rPr>
                <w:rFonts w:asciiTheme="minorHAnsi" w:hAnsiTheme="minorHAnsi" w:cstheme="minorHAnsi"/>
                <w:sz w:val="22"/>
                <w:szCs w:val="22"/>
              </w:rPr>
              <w:t xml:space="preserve">HL7 FHlR CARIN Consumer Directed Payer Data Exchange (CARIN IG for Blue Button®) IG STU 2.0.0. URL: </w:t>
            </w:r>
            <w:hyperlink r:id="rId10" w:history="1">
              <w:r w:rsidR="004F35BC" w:rsidRPr="000F779A">
                <w:rPr>
                  <w:rStyle w:val="Hyperlink"/>
                  <w:rFonts w:asciiTheme="minorHAnsi" w:hAnsiTheme="minorHAnsi" w:cstheme="minorHAnsi"/>
                  <w:sz w:val="22"/>
                  <w:szCs w:val="22"/>
                </w:rPr>
                <w:t>CARIN Blue Button Implementation Guide (FHIR IG) (hl7.org)</w:t>
              </w:r>
            </w:hyperlink>
          </w:p>
          <w:p w14:paraId="0359551F" w14:textId="77777777" w:rsidR="000B1836" w:rsidRPr="000F779A" w:rsidRDefault="00DE7F50" w:rsidP="00C40846">
            <w:pPr>
              <w:spacing w:after="160"/>
              <w:rPr>
                <w:rFonts w:asciiTheme="minorHAnsi" w:hAnsiTheme="minorHAnsi" w:cstheme="minorHAnsi"/>
                <w:sz w:val="22"/>
                <w:szCs w:val="22"/>
              </w:rPr>
            </w:pPr>
            <w:r w:rsidRPr="000F779A">
              <w:rPr>
                <w:rFonts w:asciiTheme="minorHAnsi" w:hAnsiTheme="minorHAnsi" w:cstheme="minorHAnsi"/>
                <w:sz w:val="22"/>
                <w:szCs w:val="22"/>
              </w:rPr>
              <w:t xml:space="preserve">HL7 FHIR Da Vinci Payer Data Exchange (PDex) TG STU 2.0.0. URL: </w:t>
            </w:r>
            <w:hyperlink r:id="rId11" w:history="1">
              <w:r w:rsidR="00835104" w:rsidRPr="000F779A">
                <w:rPr>
                  <w:rStyle w:val="Hyperlink"/>
                  <w:rFonts w:asciiTheme="minorHAnsi" w:hAnsiTheme="minorHAnsi" w:cstheme="minorHAnsi"/>
                  <w:sz w:val="22"/>
                  <w:szCs w:val="22"/>
                </w:rPr>
                <w:t>Da Vinci Payer Data Exchange (FHIR IG) (hl7.org)</w:t>
              </w:r>
            </w:hyperlink>
          </w:p>
          <w:p w14:paraId="15E4A03D" w14:textId="659400B3" w:rsidR="00DC4051" w:rsidRPr="000F779A" w:rsidRDefault="00F94D2F" w:rsidP="00C40846">
            <w:pPr>
              <w:spacing w:after="160"/>
              <w:rPr>
                <w:rFonts w:asciiTheme="minorHAnsi" w:hAnsiTheme="minorHAnsi" w:cstheme="minorHAnsi"/>
                <w:sz w:val="22"/>
                <w:szCs w:val="22"/>
              </w:rPr>
            </w:pPr>
            <w:r w:rsidRPr="000F779A">
              <w:rPr>
                <w:rFonts w:asciiTheme="minorHAnsi" w:hAnsiTheme="minorHAnsi" w:cstheme="minorHAnsi"/>
                <w:sz w:val="22"/>
                <w:szCs w:val="22"/>
              </w:rPr>
              <w:t xml:space="preserve">HL7 FHIR Da Vinci - Payer Data Exchange (PDex) US Drug Formulary IG STU 2.0.1. URL: </w:t>
            </w:r>
            <w:hyperlink r:id="rId12" w:history="1">
              <w:r w:rsidR="00653926" w:rsidRPr="000F779A">
                <w:rPr>
                  <w:rStyle w:val="Hyperlink"/>
                  <w:rFonts w:asciiTheme="minorHAnsi" w:hAnsiTheme="minorHAnsi" w:cstheme="minorHAnsi"/>
                  <w:sz w:val="22"/>
                  <w:szCs w:val="22"/>
                </w:rPr>
                <w:t>US Drug Formulary (FHIR IG) (hl7.org)</w:t>
              </w:r>
            </w:hyperlink>
          </w:p>
        </w:tc>
      </w:tr>
      <w:tr w:rsidR="00054DC2" w:rsidRPr="000F779A" w14:paraId="413C7976" w14:textId="77777777" w:rsidTr="00054DC2">
        <w:tc>
          <w:tcPr>
            <w:tcW w:w="2875" w:type="dxa"/>
          </w:tcPr>
          <w:p w14:paraId="0ABCB899" w14:textId="0D19DDD7" w:rsidR="00054DC2" w:rsidRPr="000F779A" w:rsidRDefault="00F34B39" w:rsidP="000057DC">
            <w:pPr>
              <w:rPr>
                <w:rFonts w:asciiTheme="minorHAnsi" w:hAnsiTheme="minorHAnsi" w:cstheme="minorHAnsi"/>
                <w:sz w:val="22"/>
                <w:szCs w:val="22"/>
              </w:rPr>
            </w:pPr>
            <w:r w:rsidRPr="000F779A">
              <w:rPr>
                <w:rFonts w:asciiTheme="minorHAnsi" w:hAnsiTheme="minorHAnsi" w:cstheme="minorHAnsi"/>
                <w:sz w:val="22"/>
                <w:szCs w:val="22"/>
              </w:rPr>
              <w:t>Provider Access API</w:t>
            </w:r>
          </w:p>
        </w:tc>
        <w:tc>
          <w:tcPr>
            <w:tcW w:w="5037" w:type="dxa"/>
          </w:tcPr>
          <w:p w14:paraId="485F6C44" w14:textId="77777777" w:rsidR="008E1B82" w:rsidRPr="000F779A" w:rsidRDefault="008E1B82" w:rsidP="008E1B82">
            <w:pPr>
              <w:spacing w:after="160"/>
              <w:rPr>
                <w:rFonts w:asciiTheme="minorHAnsi" w:hAnsiTheme="minorHAnsi" w:cstheme="minorHAnsi"/>
                <w:sz w:val="22"/>
                <w:szCs w:val="22"/>
              </w:rPr>
            </w:pPr>
            <w:r w:rsidRPr="000F779A">
              <w:rPr>
                <w:rFonts w:asciiTheme="minorHAnsi" w:hAnsiTheme="minorHAnsi" w:cstheme="minorHAnsi"/>
                <w:sz w:val="22"/>
                <w:szCs w:val="22"/>
              </w:rPr>
              <w:t>45 CFR l 70.215(a)(l) HL7 FHlR Release 4.0.1</w:t>
            </w:r>
          </w:p>
          <w:p w14:paraId="1AAEBEB1" w14:textId="0BCB946D" w:rsidR="008E1B82" w:rsidRPr="000F779A" w:rsidRDefault="008E1B82" w:rsidP="008E1B82">
            <w:pPr>
              <w:spacing w:after="160"/>
              <w:rPr>
                <w:rFonts w:asciiTheme="minorHAnsi" w:hAnsiTheme="minorHAnsi" w:cstheme="minorHAnsi"/>
                <w:sz w:val="22"/>
                <w:szCs w:val="22"/>
              </w:rPr>
            </w:pPr>
            <w:r w:rsidRPr="000F779A">
              <w:rPr>
                <w:rFonts w:asciiTheme="minorHAnsi" w:hAnsiTheme="minorHAnsi" w:cstheme="minorHAnsi"/>
                <w:sz w:val="22"/>
                <w:szCs w:val="22"/>
              </w:rPr>
              <w:t>45 CFR 170.215(b)(l)(i) HL7 FHIR US Core JG</w:t>
            </w:r>
            <w:r w:rsidR="009C6D97" w:rsidRPr="000F779A">
              <w:rPr>
                <w:rFonts w:asciiTheme="minorHAnsi" w:hAnsiTheme="minorHAnsi" w:cstheme="minorHAnsi"/>
                <w:sz w:val="22"/>
                <w:szCs w:val="22"/>
              </w:rPr>
              <w:t xml:space="preserve"> </w:t>
            </w:r>
            <w:r w:rsidRPr="000F779A">
              <w:rPr>
                <w:rFonts w:asciiTheme="minorHAnsi" w:hAnsiTheme="minorHAnsi" w:cstheme="minorHAnsi"/>
                <w:sz w:val="22"/>
                <w:szCs w:val="22"/>
              </w:rPr>
              <w:t>STU 3.1.l.***</w:t>
            </w:r>
          </w:p>
          <w:p w14:paraId="02370885" w14:textId="77777777" w:rsidR="008E1B82" w:rsidRPr="000F779A" w:rsidRDefault="008E1B82" w:rsidP="008E1B82">
            <w:pPr>
              <w:spacing w:after="160"/>
              <w:rPr>
                <w:rFonts w:asciiTheme="minorHAnsi" w:hAnsiTheme="minorHAnsi" w:cstheme="minorHAnsi"/>
                <w:sz w:val="22"/>
                <w:szCs w:val="22"/>
              </w:rPr>
            </w:pPr>
            <w:r w:rsidRPr="000F779A">
              <w:rPr>
                <w:rFonts w:asciiTheme="minorHAnsi" w:hAnsiTheme="minorHAnsi" w:cstheme="minorHAnsi"/>
                <w:sz w:val="22"/>
                <w:szCs w:val="22"/>
              </w:rPr>
              <w:t>45 CFR 170.215(c)(l) HL7 SMART Application Launch Framework TG Release 1.0.0.***</w:t>
            </w:r>
          </w:p>
          <w:p w14:paraId="050275C4" w14:textId="567E879C" w:rsidR="00054DC2" w:rsidRPr="000F779A" w:rsidRDefault="00F0685E" w:rsidP="00C40846">
            <w:pPr>
              <w:spacing w:after="160"/>
              <w:rPr>
                <w:rFonts w:asciiTheme="minorHAnsi" w:hAnsiTheme="minorHAnsi" w:cstheme="minorHAnsi"/>
                <w:sz w:val="22"/>
                <w:szCs w:val="22"/>
              </w:rPr>
            </w:pPr>
            <w:r w:rsidRPr="000F779A">
              <w:rPr>
                <w:rFonts w:asciiTheme="minorHAnsi" w:hAnsiTheme="minorHAnsi" w:cstheme="minorHAnsi"/>
                <w:sz w:val="22"/>
                <w:szCs w:val="22"/>
              </w:rPr>
              <w:t>45 CFR l 70.215(d)(l) FHIR Bulk Data Access (Flat FHIR) IG (vl.0.0: STU I)</w:t>
            </w:r>
          </w:p>
        </w:tc>
        <w:tc>
          <w:tcPr>
            <w:tcW w:w="5038" w:type="dxa"/>
          </w:tcPr>
          <w:p w14:paraId="1848BC63" w14:textId="2A47A9D3" w:rsidR="00055811" w:rsidRPr="000F779A" w:rsidRDefault="00055811" w:rsidP="00055811">
            <w:pPr>
              <w:spacing w:after="160"/>
              <w:rPr>
                <w:rFonts w:asciiTheme="minorHAnsi" w:hAnsiTheme="minorHAnsi" w:cstheme="minorHAnsi"/>
                <w:sz w:val="22"/>
                <w:szCs w:val="22"/>
              </w:rPr>
            </w:pPr>
            <w:r w:rsidRPr="000F779A">
              <w:rPr>
                <w:rFonts w:asciiTheme="minorHAnsi" w:hAnsiTheme="minorHAnsi" w:cstheme="minorHAnsi"/>
                <w:sz w:val="22"/>
                <w:szCs w:val="22"/>
              </w:rPr>
              <w:t xml:space="preserve">HL7 FHlR CARIN Consumer Directed Payer Data Exchange (CARIN IG for Blue Button®) IG STU 2.0.0. URL: </w:t>
            </w:r>
            <w:hyperlink r:id="rId13" w:history="1">
              <w:r w:rsidR="00376D88" w:rsidRPr="000F779A">
                <w:rPr>
                  <w:rStyle w:val="Hyperlink"/>
                  <w:rFonts w:asciiTheme="minorHAnsi" w:hAnsiTheme="minorHAnsi" w:cstheme="minorHAnsi"/>
                  <w:sz w:val="22"/>
                  <w:szCs w:val="22"/>
                </w:rPr>
                <w:t>CARIN Blue Button Implementation Guide (FHIR IG) (hl7.org)</w:t>
              </w:r>
            </w:hyperlink>
          </w:p>
          <w:p w14:paraId="5DA1DA0A" w14:textId="51889FB3" w:rsidR="00055811" w:rsidRPr="000F779A" w:rsidRDefault="00055811" w:rsidP="00055811">
            <w:pPr>
              <w:spacing w:after="160"/>
              <w:rPr>
                <w:rFonts w:asciiTheme="minorHAnsi" w:hAnsiTheme="minorHAnsi" w:cstheme="minorHAnsi"/>
                <w:sz w:val="22"/>
                <w:szCs w:val="22"/>
              </w:rPr>
            </w:pPr>
            <w:r w:rsidRPr="000F779A">
              <w:rPr>
                <w:rFonts w:asciiTheme="minorHAnsi" w:hAnsiTheme="minorHAnsi" w:cstheme="minorHAnsi"/>
                <w:sz w:val="22"/>
                <w:szCs w:val="22"/>
              </w:rPr>
              <w:t xml:space="preserve">HL7 FHIR Da Vinci Payer Data Exchange (PDex) IG STU 2.0.0. URL: </w:t>
            </w:r>
            <w:hyperlink r:id="rId14" w:history="1">
              <w:r w:rsidR="007867C9" w:rsidRPr="000F779A">
                <w:rPr>
                  <w:rStyle w:val="Hyperlink"/>
                  <w:rFonts w:asciiTheme="minorHAnsi" w:hAnsiTheme="minorHAnsi" w:cstheme="minorHAnsi"/>
                  <w:sz w:val="22"/>
                  <w:szCs w:val="22"/>
                </w:rPr>
                <w:t>Da Vinci Payer Data Exchange (FHIR IG) (hl7.org)</w:t>
              </w:r>
            </w:hyperlink>
          </w:p>
          <w:p w14:paraId="4A6C8BD0" w14:textId="1EE5315E" w:rsidR="00054DC2" w:rsidRPr="000F779A" w:rsidRDefault="00055811" w:rsidP="000019A5">
            <w:pPr>
              <w:spacing w:after="160"/>
              <w:rPr>
                <w:rFonts w:asciiTheme="minorHAnsi" w:hAnsiTheme="minorHAnsi" w:cstheme="minorHAnsi"/>
                <w:sz w:val="22"/>
                <w:szCs w:val="22"/>
              </w:rPr>
            </w:pPr>
            <w:r w:rsidRPr="000F779A">
              <w:rPr>
                <w:rFonts w:asciiTheme="minorHAnsi" w:hAnsiTheme="minorHAnsi" w:cstheme="minorHAnsi"/>
                <w:sz w:val="22"/>
                <w:szCs w:val="22"/>
              </w:rPr>
              <w:t>45 CFR 170.215(c)(2) HL7 SMART App Launch IG, Release</w:t>
            </w:r>
            <w:r w:rsidR="00185433" w:rsidRPr="000F779A">
              <w:rPr>
                <w:rFonts w:asciiTheme="minorHAnsi" w:hAnsiTheme="minorHAnsi" w:cstheme="minorHAnsi"/>
                <w:sz w:val="22"/>
                <w:szCs w:val="22"/>
              </w:rPr>
              <w:t xml:space="preserve"> </w:t>
            </w:r>
            <w:r w:rsidRPr="000F779A">
              <w:rPr>
                <w:rFonts w:asciiTheme="minorHAnsi" w:hAnsiTheme="minorHAnsi" w:cstheme="minorHAnsi"/>
                <w:sz w:val="22"/>
                <w:szCs w:val="22"/>
              </w:rPr>
              <w:t xml:space="preserve">2.0.0 to </w:t>
            </w:r>
            <w:r w:rsidR="00185433" w:rsidRPr="000F779A">
              <w:rPr>
                <w:rFonts w:asciiTheme="minorHAnsi" w:hAnsiTheme="minorHAnsi" w:cstheme="minorHAnsi"/>
                <w:sz w:val="22"/>
                <w:szCs w:val="22"/>
              </w:rPr>
              <w:t>support</w:t>
            </w:r>
            <w:r w:rsidRPr="000F779A">
              <w:rPr>
                <w:rFonts w:asciiTheme="minorHAnsi" w:hAnsiTheme="minorHAnsi" w:cstheme="minorHAnsi"/>
                <w:sz w:val="22"/>
                <w:szCs w:val="22"/>
              </w:rPr>
              <w:t xml:space="preserve"> Backend Services Authorization.</w:t>
            </w:r>
            <w:r w:rsidR="00185433" w:rsidRPr="000F779A">
              <w:rPr>
                <w:rFonts w:asciiTheme="minorHAnsi" w:hAnsiTheme="minorHAnsi" w:cstheme="minorHAnsi"/>
                <w:sz w:val="22"/>
                <w:szCs w:val="22"/>
              </w:rPr>
              <w:t xml:space="preserve"> UR</w:t>
            </w:r>
            <w:r w:rsidRPr="000F779A">
              <w:rPr>
                <w:rFonts w:asciiTheme="minorHAnsi" w:hAnsiTheme="minorHAnsi" w:cstheme="minorHAnsi"/>
                <w:sz w:val="22"/>
                <w:szCs w:val="22"/>
              </w:rPr>
              <w:t>L:</w:t>
            </w:r>
            <w:r w:rsidR="000019A5" w:rsidRPr="000F779A">
              <w:rPr>
                <w:rFonts w:asciiTheme="minorHAnsi" w:hAnsiTheme="minorHAnsi" w:cstheme="minorHAnsi"/>
                <w:sz w:val="22"/>
                <w:szCs w:val="22"/>
              </w:rPr>
              <w:t xml:space="preserve"> </w:t>
            </w:r>
            <w:hyperlink r:id="rId15" w:history="1">
              <w:r w:rsidR="000019A5" w:rsidRPr="000F779A">
                <w:rPr>
                  <w:rStyle w:val="Hyperlink"/>
                  <w:rFonts w:asciiTheme="minorHAnsi" w:hAnsiTheme="minorHAnsi" w:cstheme="minorHAnsi"/>
                  <w:sz w:val="22"/>
                  <w:szCs w:val="22"/>
                </w:rPr>
                <w:t>HL7.FHIR.UV.SMART-APP-LAUNCH\Backend Services - FHIR v4.0.1</w:t>
              </w:r>
            </w:hyperlink>
          </w:p>
        </w:tc>
      </w:tr>
      <w:tr w:rsidR="00054DC2" w:rsidRPr="000F779A" w14:paraId="5CA703EA" w14:textId="77777777" w:rsidTr="00054DC2">
        <w:tc>
          <w:tcPr>
            <w:tcW w:w="2875" w:type="dxa"/>
          </w:tcPr>
          <w:p w14:paraId="480C87F9" w14:textId="44F3AEFA" w:rsidR="00054DC2" w:rsidRPr="000F779A" w:rsidRDefault="00C05796" w:rsidP="000057DC">
            <w:pPr>
              <w:rPr>
                <w:rFonts w:asciiTheme="minorHAnsi" w:hAnsiTheme="minorHAnsi" w:cstheme="minorHAnsi"/>
                <w:sz w:val="22"/>
                <w:szCs w:val="22"/>
              </w:rPr>
            </w:pPr>
            <w:r w:rsidRPr="000F779A">
              <w:rPr>
                <w:rFonts w:asciiTheme="minorHAnsi" w:hAnsiTheme="minorHAnsi" w:cstheme="minorHAnsi"/>
                <w:sz w:val="22"/>
                <w:szCs w:val="22"/>
              </w:rPr>
              <w:t>Provider Directory API</w:t>
            </w:r>
          </w:p>
        </w:tc>
        <w:tc>
          <w:tcPr>
            <w:tcW w:w="5037" w:type="dxa"/>
          </w:tcPr>
          <w:p w14:paraId="0E1E3787" w14:textId="77777777" w:rsidR="005E296B" w:rsidRPr="000F779A" w:rsidRDefault="005E296B" w:rsidP="005E296B">
            <w:pPr>
              <w:spacing w:after="160"/>
              <w:rPr>
                <w:rFonts w:asciiTheme="minorHAnsi" w:hAnsiTheme="minorHAnsi" w:cstheme="minorHAnsi"/>
                <w:sz w:val="22"/>
                <w:szCs w:val="22"/>
              </w:rPr>
            </w:pPr>
            <w:r w:rsidRPr="000F779A">
              <w:rPr>
                <w:rFonts w:asciiTheme="minorHAnsi" w:hAnsiTheme="minorHAnsi" w:cstheme="minorHAnsi"/>
                <w:sz w:val="22"/>
                <w:szCs w:val="22"/>
              </w:rPr>
              <w:t>45 CFR l 70.215(a)(l) HL7 FHlR Release 4.0.1</w:t>
            </w:r>
          </w:p>
          <w:p w14:paraId="23C928B6" w14:textId="370A2EC5" w:rsidR="00054DC2" w:rsidRPr="000F779A" w:rsidRDefault="005E296B" w:rsidP="005E296B">
            <w:pPr>
              <w:spacing w:after="160"/>
              <w:rPr>
                <w:rFonts w:asciiTheme="minorHAnsi" w:hAnsiTheme="minorHAnsi" w:cstheme="minorHAnsi"/>
                <w:sz w:val="22"/>
                <w:szCs w:val="22"/>
              </w:rPr>
            </w:pPr>
            <w:r w:rsidRPr="000F779A">
              <w:rPr>
                <w:rFonts w:asciiTheme="minorHAnsi" w:hAnsiTheme="minorHAnsi" w:cstheme="minorHAnsi"/>
                <w:sz w:val="22"/>
                <w:szCs w:val="22"/>
              </w:rPr>
              <w:t>45 CFR l 70.215(b)(l)(i) HL7 FHlR US Core lG STU3.l.l.***</w:t>
            </w:r>
          </w:p>
        </w:tc>
        <w:tc>
          <w:tcPr>
            <w:tcW w:w="5038" w:type="dxa"/>
          </w:tcPr>
          <w:p w14:paraId="772B8C01" w14:textId="20E34081" w:rsidR="00054DC2" w:rsidRPr="000F779A" w:rsidRDefault="00505B07" w:rsidP="00505B07">
            <w:pPr>
              <w:spacing w:after="160"/>
              <w:rPr>
                <w:rFonts w:asciiTheme="minorHAnsi" w:hAnsiTheme="minorHAnsi" w:cstheme="minorHAnsi"/>
                <w:sz w:val="22"/>
                <w:szCs w:val="22"/>
              </w:rPr>
            </w:pPr>
            <w:r w:rsidRPr="000F779A">
              <w:rPr>
                <w:rFonts w:asciiTheme="minorHAnsi" w:hAnsiTheme="minorHAnsi" w:cstheme="minorHAnsi"/>
                <w:sz w:val="22"/>
                <w:szCs w:val="22"/>
              </w:rPr>
              <w:t xml:space="preserve">HL7 FHlR Da Vinci Payer Data Exchange (PDex) Plan Net lG STU 1.1.0. URL: </w:t>
            </w:r>
            <w:hyperlink r:id="rId16" w:history="1">
              <w:r w:rsidR="00754791" w:rsidRPr="000F779A">
                <w:rPr>
                  <w:rStyle w:val="Hyperlink"/>
                  <w:rFonts w:asciiTheme="minorHAnsi" w:hAnsiTheme="minorHAnsi" w:cstheme="minorHAnsi"/>
                  <w:sz w:val="22"/>
                  <w:szCs w:val="22"/>
                </w:rPr>
                <w:t>DaVinci PDEX Plan Net (FHIR IG) (hl7.org)</w:t>
              </w:r>
            </w:hyperlink>
          </w:p>
        </w:tc>
      </w:tr>
      <w:tr w:rsidR="00054DC2" w:rsidRPr="000F779A" w14:paraId="23F132EC" w14:textId="77777777" w:rsidTr="00054DC2">
        <w:tc>
          <w:tcPr>
            <w:tcW w:w="2875" w:type="dxa"/>
          </w:tcPr>
          <w:p w14:paraId="0E4E0419" w14:textId="5C94ED7C" w:rsidR="00054DC2" w:rsidRPr="000F779A" w:rsidRDefault="00C05796" w:rsidP="008D1985">
            <w:pPr>
              <w:pageBreakBefore/>
              <w:rPr>
                <w:rFonts w:asciiTheme="minorHAnsi" w:hAnsiTheme="minorHAnsi" w:cstheme="minorHAnsi"/>
                <w:sz w:val="22"/>
                <w:szCs w:val="22"/>
              </w:rPr>
            </w:pPr>
            <w:r w:rsidRPr="000F779A">
              <w:rPr>
                <w:rFonts w:asciiTheme="minorHAnsi" w:hAnsiTheme="minorHAnsi" w:cstheme="minorHAnsi"/>
                <w:sz w:val="22"/>
                <w:szCs w:val="22"/>
              </w:rPr>
              <w:lastRenderedPageBreak/>
              <w:t>Payer to Payer API</w:t>
            </w:r>
          </w:p>
        </w:tc>
        <w:tc>
          <w:tcPr>
            <w:tcW w:w="5037" w:type="dxa"/>
          </w:tcPr>
          <w:p w14:paraId="200BC133" w14:textId="77777777" w:rsidR="0026374A" w:rsidRPr="000F779A" w:rsidRDefault="0026374A" w:rsidP="0026374A">
            <w:pPr>
              <w:spacing w:after="160"/>
              <w:rPr>
                <w:rFonts w:asciiTheme="minorHAnsi" w:hAnsiTheme="minorHAnsi" w:cstheme="minorHAnsi"/>
                <w:sz w:val="22"/>
                <w:szCs w:val="22"/>
              </w:rPr>
            </w:pPr>
            <w:r w:rsidRPr="000F779A">
              <w:rPr>
                <w:rFonts w:asciiTheme="minorHAnsi" w:hAnsiTheme="minorHAnsi" w:cstheme="minorHAnsi"/>
                <w:sz w:val="22"/>
                <w:szCs w:val="22"/>
              </w:rPr>
              <w:t>45 CFR l 70.215(a)(l) HL7 FHIR Release 4.0.1</w:t>
            </w:r>
          </w:p>
          <w:p w14:paraId="36EB7EF2" w14:textId="01675046" w:rsidR="0026374A" w:rsidRPr="000F779A" w:rsidRDefault="0026374A" w:rsidP="0026374A">
            <w:pPr>
              <w:spacing w:after="160"/>
              <w:rPr>
                <w:rFonts w:asciiTheme="minorHAnsi" w:hAnsiTheme="minorHAnsi" w:cstheme="minorHAnsi"/>
                <w:sz w:val="22"/>
                <w:szCs w:val="22"/>
              </w:rPr>
            </w:pPr>
            <w:r w:rsidRPr="000F779A">
              <w:rPr>
                <w:rFonts w:asciiTheme="minorHAnsi" w:hAnsiTheme="minorHAnsi" w:cstheme="minorHAnsi"/>
                <w:sz w:val="22"/>
                <w:szCs w:val="22"/>
              </w:rPr>
              <w:t>45 CFR l 70.215(b)(l)(i) HL7 FHIR US Core IG</w:t>
            </w:r>
            <w:r w:rsidR="00B522B1" w:rsidRPr="000F779A">
              <w:rPr>
                <w:rFonts w:asciiTheme="minorHAnsi" w:hAnsiTheme="minorHAnsi" w:cstheme="minorHAnsi"/>
                <w:sz w:val="22"/>
                <w:szCs w:val="22"/>
              </w:rPr>
              <w:t xml:space="preserve"> </w:t>
            </w:r>
            <w:r w:rsidRPr="000F779A">
              <w:rPr>
                <w:rFonts w:asciiTheme="minorHAnsi" w:hAnsiTheme="minorHAnsi" w:cstheme="minorHAnsi"/>
                <w:sz w:val="22"/>
                <w:szCs w:val="22"/>
              </w:rPr>
              <w:t>STU 3.1.l.***</w:t>
            </w:r>
          </w:p>
          <w:p w14:paraId="61FFEF9F" w14:textId="44CAC2CF" w:rsidR="00054DC2" w:rsidRPr="000F779A" w:rsidRDefault="0026374A" w:rsidP="0026374A">
            <w:pPr>
              <w:spacing w:after="160"/>
              <w:rPr>
                <w:rFonts w:asciiTheme="minorHAnsi" w:hAnsiTheme="minorHAnsi" w:cstheme="minorHAnsi"/>
                <w:sz w:val="22"/>
                <w:szCs w:val="22"/>
              </w:rPr>
            </w:pPr>
            <w:r w:rsidRPr="000F779A">
              <w:rPr>
                <w:rFonts w:asciiTheme="minorHAnsi" w:hAnsiTheme="minorHAnsi" w:cstheme="minorHAnsi"/>
                <w:sz w:val="22"/>
                <w:szCs w:val="22"/>
              </w:rPr>
              <w:t>45 CFR l 70.215(d)(l) FHIR Bulk Data Access (Flat FHIR) lG (vl.0.0: STU 1)</w:t>
            </w:r>
          </w:p>
        </w:tc>
        <w:tc>
          <w:tcPr>
            <w:tcW w:w="5038" w:type="dxa"/>
          </w:tcPr>
          <w:p w14:paraId="41999417" w14:textId="77777777" w:rsidR="00A03E63" w:rsidRPr="000F779A" w:rsidRDefault="00DF0A71" w:rsidP="00DF0A71">
            <w:pPr>
              <w:spacing w:after="160"/>
              <w:rPr>
                <w:rFonts w:asciiTheme="minorHAnsi" w:hAnsiTheme="minorHAnsi" w:cstheme="minorHAnsi"/>
                <w:sz w:val="22"/>
                <w:szCs w:val="22"/>
              </w:rPr>
            </w:pPr>
            <w:r w:rsidRPr="000F779A">
              <w:rPr>
                <w:rFonts w:asciiTheme="minorHAnsi" w:hAnsiTheme="minorHAnsi" w:cstheme="minorHAnsi"/>
                <w:sz w:val="22"/>
                <w:szCs w:val="22"/>
              </w:rPr>
              <w:t>HL7 FHIR Consumer Directed Payer Data Exchange (CARIN IG for Blue Button®) IG STU 2.0.0. URL:</w:t>
            </w:r>
            <w:r w:rsidR="009847A0" w:rsidRPr="000F779A">
              <w:rPr>
                <w:rFonts w:asciiTheme="minorHAnsi" w:hAnsiTheme="minorHAnsi" w:cstheme="minorHAnsi"/>
                <w:sz w:val="22"/>
                <w:szCs w:val="22"/>
              </w:rPr>
              <w:t xml:space="preserve"> </w:t>
            </w:r>
            <w:hyperlink r:id="rId17" w:history="1">
              <w:r w:rsidR="00A03E63" w:rsidRPr="000F779A">
                <w:rPr>
                  <w:rStyle w:val="Hyperlink"/>
                  <w:rFonts w:asciiTheme="minorHAnsi" w:hAnsiTheme="minorHAnsi" w:cstheme="minorHAnsi"/>
                  <w:sz w:val="22"/>
                  <w:szCs w:val="22"/>
                </w:rPr>
                <w:t>CARIN Blue Button Implementation Guide (FHIR IG) (hl7.org)</w:t>
              </w:r>
            </w:hyperlink>
          </w:p>
          <w:p w14:paraId="6D650DB9" w14:textId="77777777" w:rsidR="00DD5787" w:rsidRPr="000F779A" w:rsidRDefault="00DF0A71" w:rsidP="009847A0">
            <w:pPr>
              <w:spacing w:after="160"/>
              <w:rPr>
                <w:rFonts w:asciiTheme="minorHAnsi" w:hAnsiTheme="minorHAnsi" w:cstheme="minorHAnsi"/>
                <w:sz w:val="22"/>
                <w:szCs w:val="22"/>
              </w:rPr>
            </w:pPr>
            <w:r w:rsidRPr="000F779A">
              <w:rPr>
                <w:rFonts w:asciiTheme="minorHAnsi" w:hAnsiTheme="minorHAnsi" w:cstheme="minorHAnsi"/>
                <w:sz w:val="22"/>
                <w:szCs w:val="22"/>
              </w:rPr>
              <w:t xml:space="preserve">HL7 FHTR Da Vinci Payer Data Exchange (PDex) TG STU 2.0.0. URL: </w:t>
            </w:r>
            <w:hyperlink r:id="rId18" w:history="1">
              <w:r w:rsidR="00DD5787" w:rsidRPr="000F779A">
                <w:rPr>
                  <w:rStyle w:val="Hyperlink"/>
                  <w:rFonts w:asciiTheme="minorHAnsi" w:hAnsiTheme="minorHAnsi" w:cstheme="minorHAnsi"/>
                  <w:sz w:val="22"/>
                  <w:szCs w:val="22"/>
                </w:rPr>
                <w:t>Da Vinci Payer Data Exchange (FHIR IG) (hl7.org)</w:t>
              </w:r>
            </w:hyperlink>
          </w:p>
          <w:p w14:paraId="32989DF9" w14:textId="7B05258F" w:rsidR="00054DC2" w:rsidRPr="000F779A" w:rsidRDefault="00DF0A71" w:rsidP="009847A0">
            <w:pPr>
              <w:spacing w:after="160"/>
              <w:rPr>
                <w:rFonts w:asciiTheme="minorHAnsi" w:hAnsiTheme="minorHAnsi" w:cstheme="minorHAnsi"/>
                <w:sz w:val="22"/>
                <w:szCs w:val="22"/>
              </w:rPr>
            </w:pPr>
            <w:r w:rsidRPr="000F779A">
              <w:rPr>
                <w:rFonts w:asciiTheme="minorHAnsi" w:hAnsiTheme="minorHAnsi" w:cstheme="minorHAnsi"/>
                <w:sz w:val="22"/>
                <w:szCs w:val="22"/>
              </w:rPr>
              <w:t>45 CFR 170.215(c)(2) HL7 SMART App Launch IG, Release</w:t>
            </w:r>
            <w:r w:rsidR="009847A0" w:rsidRPr="000F779A">
              <w:rPr>
                <w:rFonts w:asciiTheme="minorHAnsi" w:hAnsiTheme="minorHAnsi" w:cstheme="minorHAnsi"/>
                <w:sz w:val="22"/>
                <w:szCs w:val="22"/>
              </w:rPr>
              <w:t xml:space="preserve"> </w:t>
            </w:r>
            <w:r w:rsidRPr="000F779A">
              <w:rPr>
                <w:rFonts w:asciiTheme="minorHAnsi" w:hAnsiTheme="minorHAnsi" w:cstheme="minorHAnsi"/>
                <w:sz w:val="22"/>
                <w:szCs w:val="22"/>
              </w:rPr>
              <w:t xml:space="preserve">2.0.0 to support Backend Services Authorization. URL: </w:t>
            </w:r>
            <w:hyperlink r:id="rId19" w:history="1">
              <w:r w:rsidR="00B26E27" w:rsidRPr="000F779A">
                <w:rPr>
                  <w:rStyle w:val="Hyperlink"/>
                  <w:rFonts w:asciiTheme="minorHAnsi" w:hAnsiTheme="minorHAnsi" w:cstheme="minorHAnsi"/>
                  <w:sz w:val="22"/>
                  <w:szCs w:val="22"/>
                </w:rPr>
                <w:t>HL7.FHIR.UV.SMART-APP-LAUNCH\Backend Services - FHIR v4.0.1</w:t>
              </w:r>
            </w:hyperlink>
          </w:p>
        </w:tc>
      </w:tr>
      <w:tr w:rsidR="00054DC2" w:rsidRPr="000F779A" w14:paraId="123E8EE7" w14:textId="77777777" w:rsidTr="00054DC2">
        <w:tc>
          <w:tcPr>
            <w:tcW w:w="2875" w:type="dxa"/>
          </w:tcPr>
          <w:p w14:paraId="773B5CED" w14:textId="0ACB4ACD" w:rsidR="00054DC2" w:rsidRPr="000F779A" w:rsidRDefault="00396B6E" w:rsidP="000057DC">
            <w:pPr>
              <w:rPr>
                <w:rFonts w:asciiTheme="minorHAnsi" w:hAnsiTheme="minorHAnsi" w:cstheme="minorHAnsi"/>
                <w:sz w:val="22"/>
                <w:szCs w:val="22"/>
              </w:rPr>
            </w:pPr>
            <w:r w:rsidRPr="000F779A">
              <w:rPr>
                <w:rFonts w:asciiTheme="minorHAnsi" w:hAnsiTheme="minorHAnsi" w:cstheme="minorHAnsi"/>
                <w:sz w:val="22"/>
                <w:szCs w:val="22"/>
              </w:rPr>
              <w:t>Prior Authorization API</w:t>
            </w:r>
          </w:p>
        </w:tc>
        <w:tc>
          <w:tcPr>
            <w:tcW w:w="5037" w:type="dxa"/>
          </w:tcPr>
          <w:p w14:paraId="1446AF9F" w14:textId="77777777" w:rsidR="00B87EE0" w:rsidRPr="000F779A" w:rsidRDefault="00B87EE0" w:rsidP="00B87EE0">
            <w:pPr>
              <w:spacing w:after="160"/>
              <w:rPr>
                <w:rFonts w:asciiTheme="minorHAnsi" w:hAnsiTheme="minorHAnsi" w:cstheme="minorHAnsi"/>
                <w:sz w:val="22"/>
                <w:szCs w:val="22"/>
              </w:rPr>
            </w:pPr>
            <w:r w:rsidRPr="000F779A">
              <w:rPr>
                <w:rFonts w:asciiTheme="minorHAnsi" w:hAnsiTheme="minorHAnsi" w:cstheme="minorHAnsi"/>
                <w:sz w:val="22"/>
                <w:szCs w:val="22"/>
              </w:rPr>
              <w:t>45 CFR 170.215(a)(l) HL7 FHTR Release 4.0.1</w:t>
            </w:r>
          </w:p>
          <w:p w14:paraId="0E3731EC" w14:textId="77777777" w:rsidR="00B87EE0" w:rsidRPr="000F779A" w:rsidRDefault="00B87EE0" w:rsidP="00B87EE0">
            <w:pPr>
              <w:spacing w:after="160"/>
              <w:rPr>
                <w:rFonts w:asciiTheme="minorHAnsi" w:hAnsiTheme="minorHAnsi" w:cstheme="minorHAnsi"/>
                <w:sz w:val="22"/>
                <w:szCs w:val="22"/>
              </w:rPr>
            </w:pPr>
            <w:r w:rsidRPr="000F779A">
              <w:rPr>
                <w:rFonts w:asciiTheme="minorHAnsi" w:hAnsiTheme="minorHAnsi" w:cstheme="minorHAnsi"/>
                <w:sz w:val="22"/>
                <w:szCs w:val="22"/>
              </w:rPr>
              <w:t>45 CFR 170.215(b)(l)(i) HL7 FHIR US Core JG STU 3.1.1.***</w:t>
            </w:r>
          </w:p>
          <w:p w14:paraId="3B68DE18" w14:textId="17AFF6FB" w:rsidR="00054DC2" w:rsidRPr="000F779A" w:rsidRDefault="00B87EE0" w:rsidP="00B87EE0">
            <w:pPr>
              <w:spacing w:after="160"/>
              <w:rPr>
                <w:rFonts w:asciiTheme="minorHAnsi" w:hAnsiTheme="minorHAnsi" w:cstheme="minorHAnsi"/>
                <w:sz w:val="22"/>
                <w:szCs w:val="22"/>
              </w:rPr>
            </w:pPr>
            <w:r w:rsidRPr="000F779A">
              <w:rPr>
                <w:rFonts w:asciiTheme="minorHAnsi" w:hAnsiTheme="minorHAnsi" w:cstheme="minorHAnsi"/>
                <w:sz w:val="22"/>
                <w:szCs w:val="22"/>
              </w:rPr>
              <w:t>45 CFR 170.215(c)(l) HL7 SMART Application Launch Framework TG Release 1.0.0.***</w:t>
            </w:r>
          </w:p>
        </w:tc>
        <w:tc>
          <w:tcPr>
            <w:tcW w:w="5038" w:type="dxa"/>
          </w:tcPr>
          <w:p w14:paraId="4D483F00" w14:textId="00A66883" w:rsidR="00EA12B2" w:rsidRPr="000F779A" w:rsidRDefault="00EA12B2" w:rsidP="00EA12B2">
            <w:pPr>
              <w:spacing w:after="160"/>
              <w:rPr>
                <w:rFonts w:asciiTheme="minorHAnsi" w:hAnsiTheme="minorHAnsi" w:cstheme="minorHAnsi"/>
                <w:sz w:val="22"/>
                <w:szCs w:val="22"/>
              </w:rPr>
            </w:pPr>
            <w:r w:rsidRPr="000F779A">
              <w:rPr>
                <w:rFonts w:asciiTheme="minorHAnsi" w:hAnsiTheme="minorHAnsi" w:cstheme="minorHAnsi"/>
                <w:sz w:val="22"/>
                <w:szCs w:val="22"/>
              </w:rPr>
              <w:t xml:space="preserve">HL7 FHTR Da Vinci - Coverage Requirements Discovery (CRD) TG STU 2.0.1. URL: </w:t>
            </w:r>
            <w:hyperlink r:id="rId20" w:history="1">
              <w:r w:rsidR="00424F84" w:rsidRPr="000F779A">
                <w:rPr>
                  <w:rStyle w:val="Hyperlink"/>
                  <w:rFonts w:asciiTheme="minorHAnsi" w:hAnsiTheme="minorHAnsi" w:cstheme="minorHAnsi"/>
                  <w:sz w:val="22"/>
                  <w:szCs w:val="22"/>
                </w:rPr>
                <w:t>Da Vinci Coverage Requirements Discovery (CRD) FHIR IG (hl7.org)</w:t>
              </w:r>
            </w:hyperlink>
          </w:p>
          <w:p w14:paraId="5B338252" w14:textId="5A7B34C5" w:rsidR="00EA12B2" w:rsidRPr="000F779A" w:rsidRDefault="00EA12B2" w:rsidP="00EA12B2">
            <w:pPr>
              <w:spacing w:after="160"/>
              <w:rPr>
                <w:rFonts w:asciiTheme="minorHAnsi" w:hAnsiTheme="minorHAnsi" w:cstheme="minorHAnsi"/>
                <w:sz w:val="22"/>
                <w:szCs w:val="22"/>
                <w:u w:val="thick"/>
              </w:rPr>
            </w:pPr>
            <w:r w:rsidRPr="000F779A">
              <w:rPr>
                <w:rFonts w:asciiTheme="minorHAnsi" w:hAnsiTheme="minorHAnsi" w:cstheme="minorHAnsi"/>
                <w:sz w:val="22"/>
                <w:szCs w:val="22"/>
              </w:rPr>
              <w:t xml:space="preserve">HL7 FHTR Da Vinci - Documentation Templates and Rules (DTR) lG STU 2.0.0. URL: </w:t>
            </w:r>
            <w:hyperlink r:id="rId21" w:history="1">
              <w:r w:rsidR="009537A7" w:rsidRPr="000F779A">
                <w:rPr>
                  <w:rStyle w:val="Hyperlink"/>
                  <w:rFonts w:asciiTheme="minorHAnsi" w:hAnsiTheme="minorHAnsi" w:cstheme="minorHAnsi"/>
                  <w:sz w:val="22"/>
                  <w:szCs w:val="22"/>
                </w:rPr>
                <w:t>Documentation Templates and Rules (FHIR IG) (hl7.org)</w:t>
              </w:r>
            </w:hyperlink>
          </w:p>
          <w:p w14:paraId="621B6D49" w14:textId="77777777" w:rsidR="00EA12B2" w:rsidRPr="000F779A" w:rsidRDefault="00EA12B2" w:rsidP="00EA12B2">
            <w:pPr>
              <w:spacing w:after="160"/>
              <w:rPr>
                <w:rFonts w:asciiTheme="minorHAnsi" w:hAnsiTheme="minorHAnsi" w:cstheme="minorHAnsi"/>
                <w:sz w:val="22"/>
                <w:szCs w:val="22"/>
              </w:rPr>
            </w:pPr>
            <w:r w:rsidRPr="000F779A">
              <w:rPr>
                <w:rFonts w:asciiTheme="minorHAnsi" w:hAnsiTheme="minorHAnsi" w:cstheme="minorHAnsi"/>
                <w:sz w:val="22"/>
                <w:szCs w:val="22"/>
              </w:rPr>
              <w:t>HL7 FHIR Da Vinci Prior Authorization Support (PAS) IG STU</w:t>
            </w:r>
          </w:p>
          <w:p w14:paraId="411D0B12" w14:textId="276F764F" w:rsidR="00054DC2" w:rsidRPr="000F779A" w:rsidRDefault="00EA12B2" w:rsidP="00EA12B2">
            <w:pPr>
              <w:spacing w:after="160"/>
              <w:rPr>
                <w:rFonts w:asciiTheme="minorHAnsi" w:hAnsiTheme="minorHAnsi" w:cstheme="minorHAnsi"/>
                <w:sz w:val="22"/>
                <w:szCs w:val="22"/>
              </w:rPr>
            </w:pPr>
            <w:r w:rsidRPr="000F779A">
              <w:rPr>
                <w:rFonts w:asciiTheme="minorHAnsi" w:hAnsiTheme="minorHAnsi" w:cstheme="minorHAnsi"/>
                <w:sz w:val="22"/>
                <w:szCs w:val="22"/>
              </w:rPr>
              <w:t xml:space="preserve">2.0.1. URL: </w:t>
            </w:r>
            <w:hyperlink r:id="rId22" w:history="1">
              <w:r w:rsidR="006152D4" w:rsidRPr="000F779A">
                <w:rPr>
                  <w:rFonts w:asciiTheme="minorHAnsi" w:hAnsiTheme="minorHAnsi" w:cstheme="minorHAnsi"/>
                </w:rPr>
                <w:t xml:space="preserve"> </w:t>
              </w:r>
              <w:hyperlink r:id="rId23" w:history="1">
                <w:r w:rsidR="006152D4" w:rsidRPr="000F779A">
                  <w:rPr>
                    <w:rStyle w:val="Hyperlink"/>
                    <w:rFonts w:asciiTheme="minorHAnsi" w:hAnsiTheme="minorHAnsi" w:cstheme="minorHAnsi"/>
                    <w:sz w:val="22"/>
                    <w:szCs w:val="22"/>
                  </w:rPr>
                  <w:t>Da Vinci Prior Authorization Support (PAS) FHIR IG (hl7.org)</w:t>
                </w:r>
              </w:hyperlink>
            </w:hyperlink>
          </w:p>
        </w:tc>
      </w:tr>
    </w:tbl>
    <w:p w14:paraId="59D9735E" w14:textId="6B037FA4" w:rsidR="00534514" w:rsidRPr="000F779A" w:rsidRDefault="00534514" w:rsidP="00534514">
      <w:pPr>
        <w:rPr>
          <w:rFonts w:asciiTheme="minorHAnsi" w:hAnsiTheme="minorHAnsi" w:cstheme="minorHAnsi"/>
          <w:sz w:val="18"/>
          <w:szCs w:val="18"/>
        </w:rPr>
      </w:pPr>
      <w:r w:rsidRPr="000F779A">
        <w:rPr>
          <w:rFonts w:asciiTheme="minorHAnsi" w:hAnsiTheme="minorHAnsi" w:cstheme="minorHAnsi"/>
          <w:sz w:val="18"/>
          <w:szCs w:val="18"/>
        </w:rPr>
        <w:t>*We have made modifications to the required standards listed in this table from what was originally listed in Table 10</w:t>
      </w:r>
      <w:r w:rsidR="00242F7F" w:rsidRPr="000F779A">
        <w:rPr>
          <w:rFonts w:asciiTheme="minorHAnsi" w:hAnsiTheme="minorHAnsi" w:cstheme="minorHAnsi"/>
          <w:sz w:val="18"/>
          <w:szCs w:val="18"/>
        </w:rPr>
        <w:t xml:space="preserve"> </w:t>
      </w:r>
      <w:r w:rsidRPr="000F779A">
        <w:rPr>
          <w:rFonts w:asciiTheme="minorHAnsi" w:hAnsiTheme="minorHAnsi" w:cstheme="minorHAnsi"/>
          <w:sz w:val="18"/>
          <w:szCs w:val="18"/>
        </w:rPr>
        <w:t>of the CMS Interoperability and Prior Authorization proposed rule (87 FR 76320).</w:t>
      </w:r>
    </w:p>
    <w:p w14:paraId="4515F126" w14:textId="394809BD" w:rsidR="00534514" w:rsidRPr="000F779A" w:rsidRDefault="00534514" w:rsidP="00534514">
      <w:pPr>
        <w:rPr>
          <w:rFonts w:asciiTheme="minorHAnsi" w:hAnsiTheme="minorHAnsi" w:cstheme="minorHAnsi"/>
          <w:sz w:val="18"/>
          <w:szCs w:val="18"/>
        </w:rPr>
      </w:pPr>
      <w:r w:rsidRPr="000F779A">
        <w:rPr>
          <w:rFonts w:asciiTheme="minorHAnsi" w:hAnsiTheme="minorHAnsi" w:cstheme="minorHAnsi"/>
          <w:sz w:val="18"/>
          <w:szCs w:val="18"/>
        </w:rPr>
        <w:t>**We have removed the references to 45 CFR 170.215(c) SMART App Launch JG and 45 CFR 170.215(e) OpenTD</w:t>
      </w:r>
      <w:r w:rsidR="00242F7F" w:rsidRPr="000F779A">
        <w:rPr>
          <w:rFonts w:asciiTheme="minorHAnsi" w:hAnsiTheme="minorHAnsi" w:cstheme="minorHAnsi"/>
          <w:sz w:val="18"/>
          <w:szCs w:val="18"/>
        </w:rPr>
        <w:t xml:space="preserve"> </w:t>
      </w:r>
      <w:r w:rsidRPr="000F779A">
        <w:rPr>
          <w:rFonts w:asciiTheme="minorHAnsi" w:hAnsiTheme="minorHAnsi" w:cstheme="minorHAnsi"/>
          <w:sz w:val="18"/>
          <w:szCs w:val="18"/>
        </w:rPr>
        <w:t>Connect Core for the Provider Directory API that were</w:t>
      </w:r>
      <w:r w:rsidR="00242F7F" w:rsidRPr="000F779A">
        <w:rPr>
          <w:rFonts w:asciiTheme="minorHAnsi" w:hAnsiTheme="minorHAnsi" w:cstheme="minorHAnsi"/>
          <w:sz w:val="18"/>
          <w:szCs w:val="18"/>
        </w:rPr>
        <w:t xml:space="preserve"> </w:t>
      </w:r>
      <w:r w:rsidRPr="000F779A">
        <w:rPr>
          <w:rFonts w:asciiTheme="minorHAnsi" w:hAnsiTheme="minorHAnsi" w:cstheme="minorHAnsi"/>
          <w:sz w:val="18"/>
          <w:szCs w:val="18"/>
        </w:rPr>
        <w:t>mistakenly included in the proposed rule. Security protocols related to</w:t>
      </w:r>
      <w:r w:rsidR="00242F7F" w:rsidRPr="000F779A">
        <w:rPr>
          <w:rFonts w:asciiTheme="minorHAnsi" w:hAnsiTheme="minorHAnsi" w:cstheme="minorHAnsi"/>
          <w:sz w:val="18"/>
          <w:szCs w:val="18"/>
        </w:rPr>
        <w:t xml:space="preserve"> </w:t>
      </w:r>
      <w:r w:rsidRPr="000F779A">
        <w:rPr>
          <w:rFonts w:asciiTheme="minorHAnsi" w:hAnsiTheme="minorHAnsi" w:cstheme="minorHAnsi"/>
          <w:sz w:val="18"/>
          <w:szCs w:val="18"/>
        </w:rPr>
        <w:t>user authentication and authorization are excluded from the requirements for the Provider Directory APT (for MA organizations</w:t>
      </w:r>
      <w:r w:rsidR="00242F7F" w:rsidRPr="000F779A">
        <w:rPr>
          <w:rFonts w:asciiTheme="minorHAnsi" w:hAnsiTheme="minorHAnsi" w:cstheme="minorHAnsi"/>
          <w:sz w:val="18"/>
          <w:szCs w:val="18"/>
        </w:rPr>
        <w:t xml:space="preserve"> </w:t>
      </w:r>
      <w:r w:rsidRPr="000F779A">
        <w:rPr>
          <w:rFonts w:asciiTheme="minorHAnsi" w:hAnsiTheme="minorHAnsi" w:cstheme="minorHAnsi"/>
          <w:sz w:val="18"/>
          <w:szCs w:val="18"/>
        </w:rPr>
        <w:t>at 42 CFR 422.120 (a), for Medicaid at 42 CFR 43 l.70(a), and for CHIP at 42 CFR 457.760(a)). For more information see the</w:t>
      </w:r>
      <w:r w:rsidR="00242F7F" w:rsidRPr="000F779A">
        <w:rPr>
          <w:rFonts w:asciiTheme="minorHAnsi" w:hAnsiTheme="minorHAnsi" w:cstheme="minorHAnsi"/>
          <w:sz w:val="18"/>
          <w:szCs w:val="18"/>
        </w:rPr>
        <w:t xml:space="preserve"> </w:t>
      </w:r>
      <w:r w:rsidRPr="000F779A">
        <w:rPr>
          <w:rFonts w:asciiTheme="minorHAnsi" w:hAnsiTheme="minorHAnsi" w:cstheme="minorHAnsi"/>
          <w:sz w:val="18"/>
          <w:szCs w:val="18"/>
        </w:rPr>
        <w:t>discussion in the CMS Interoperability and Patient Access final rule at 85 FR 25560.</w:t>
      </w:r>
    </w:p>
    <w:p w14:paraId="4D67914C" w14:textId="77777777" w:rsidR="00BA3EDA" w:rsidRPr="000F779A" w:rsidRDefault="00BA3EDA" w:rsidP="00534514">
      <w:pPr>
        <w:rPr>
          <w:rFonts w:asciiTheme="minorHAnsi" w:hAnsiTheme="minorHAnsi" w:cstheme="minorHAnsi"/>
          <w:sz w:val="18"/>
          <w:szCs w:val="18"/>
        </w:rPr>
      </w:pPr>
    </w:p>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7290"/>
        <w:gridCol w:w="4140"/>
      </w:tblGrid>
      <w:tr w:rsidR="00193908" w:rsidRPr="000F779A" w14:paraId="7925AC20" w14:textId="77777777" w:rsidTr="002D160D">
        <w:trPr>
          <w:trHeight w:val="360"/>
          <w:tblHeader/>
        </w:trPr>
        <w:tc>
          <w:tcPr>
            <w:tcW w:w="13747" w:type="dxa"/>
            <w:gridSpan w:val="3"/>
            <w:shd w:val="clear" w:color="auto" w:fill="4472C4" w:themeFill="accent1"/>
            <w:vAlign w:val="center"/>
          </w:tcPr>
          <w:p w14:paraId="2EF49C87" w14:textId="77777777" w:rsidR="00193908" w:rsidRPr="000F779A" w:rsidRDefault="00193908" w:rsidP="00583C7E">
            <w:pPr>
              <w:pageBreakBefore/>
              <w:widowControl w:val="0"/>
              <w:jc w:val="center"/>
              <w:rPr>
                <w:rFonts w:asciiTheme="minorHAnsi" w:eastAsia="Calibri" w:hAnsiTheme="minorHAnsi" w:cstheme="minorHAnsi"/>
                <w:b/>
                <w:color w:val="FFFFFF" w:themeColor="background1"/>
                <w:sz w:val="22"/>
                <w:szCs w:val="22"/>
              </w:rPr>
            </w:pPr>
            <w:r w:rsidRPr="000F779A">
              <w:rPr>
                <w:rFonts w:asciiTheme="minorHAnsi" w:eastAsia="Calibri" w:hAnsiTheme="minorHAnsi" w:cstheme="minorHAnsi"/>
                <w:b/>
                <w:color w:val="FFFFFF" w:themeColor="background1"/>
                <w:sz w:val="22"/>
                <w:szCs w:val="22"/>
              </w:rPr>
              <w:lastRenderedPageBreak/>
              <w:t>Changes/Potential Impact—As Finalized</w:t>
            </w:r>
          </w:p>
        </w:tc>
      </w:tr>
      <w:tr w:rsidR="00193908" w:rsidRPr="000F779A" w14:paraId="544D44AE" w14:textId="77777777" w:rsidTr="002D160D">
        <w:trPr>
          <w:trHeight w:val="360"/>
          <w:tblHeader/>
        </w:trPr>
        <w:tc>
          <w:tcPr>
            <w:tcW w:w="13747" w:type="dxa"/>
            <w:gridSpan w:val="3"/>
            <w:shd w:val="clear" w:color="auto" w:fill="FFC000" w:themeFill="accent4"/>
            <w:vAlign w:val="center"/>
          </w:tcPr>
          <w:p w14:paraId="35493399" w14:textId="52020D64" w:rsidR="00193908" w:rsidRPr="000F779A" w:rsidRDefault="00193908" w:rsidP="00583C7E">
            <w:pPr>
              <w:widowControl w:val="0"/>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Changes Related to Part 422—Medicare Advantage Program</w:t>
            </w:r>
          </w:p>
        </w:tc>
      </w:tr>
      <w:tr w:rsidR="00193908" w:rsidRPr="000F779A" w14:paraId="53D16AE6" w14:textId="77777777" w:rsidTr="002D160D">
        <w:trPr>
          <w:trHeight w:val="360"/>
          <w:tblHeader/>
        </w:trPr>
        <w:tc>
          <w:tcPr>
            <w:tcW w:w="2317" w:type="dxa"/>
            <w:shd w:val="clear" w:color="auto" w:fill="DEEAF6" w:themeFill="accent5" w:themeFillTint="33"/>
            <w:vAlign w:val="center"/>
          </w:tcPr>
          <w:p w14:paraId="3350A7B8" w14:textId="77777777" w:rsidR="00193908" w:rsidRPr="000F779A" w:rsidRDefault="00193908" w:rsidP="00583C7E">
            <w:pPr>
              <w:keepNext/>
              <w:widowControl w:val="0"/>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Change and Applicability Dates</w:t>
            </w:r>
          </w:p>
        </w:tc>
        <w:tc>
          <w:tcPr>
            <w:tcW w:w="7290" w:type="dxa"/>
            <w:shd w:val="clear" w:color="auto" w:fill="DEEAF6" w:themeFill="accent5" w:themeFillTint="33"/>
            <w:vAlign w:val="center"/>
          </w:tcPr>
          <w:p w14:paraId="383F15E3" w14:textId="77777777" w:rsidR="00193908" w:rsidRPr="000F779A" w:rsidRDefault="00193908" w:rsidP="00583C7E">
            <w:pPr>
              <w:widowControl w:val="0"/>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 xml:space="preserve">Regulation Language (Revisions and Additions Only </w:t>
            </w:r>
          </w:p>
        </w:tc>
        <w:tc>
          <w:tcPr>
            <w:tcW w:w="4140" w:type="dxa"/>
            <w:shd w:val="clear" w:color="auto" w:fill="DEEAF6" w:themeFill="accent5" w:themeFillTint="33"/>
            <w:vAlign w:val="center"/>
          </w:tcPr>
          <w:p w14:paraId="67376959" w14:textId="77777777" w:rsidR="00193908" w:rsidRPr="000F779A" w:rsidRDefault="00193908" w:rsidP="00583C7E">
            <w:pPr>
              <w:widowControl w:val="0"/>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CMS Discussion Highlights</w:t>
            </w:r>
          </w:p>
        </w:tc>
      </w:tr>
      <w:tr w:rsidR="00CC758E" w:rsidRPr="000F779A" w14:paraId="619557D4" w14:textId="77777777" w:rsidTr="00213EE4">
        <w:trPr>
          <w:trHeight w:val="360"/>
        </w:trPr>
        <w:tc>
          <w:tcPr>
            <w:tcW w:w="2317" w:type="dxa"/>
            <w:shd w:val="clear" w:color="auto" w:fill="auto"/>
          </w:tcPr>
          <w:p w14:paraId="01F8973B" w14:textId="52ED19CE" w:rsidR="00CC758E" w:rsidRPr="000F779A" w:rsidRDefault="00CC758E" w:rsidP="00013DFB">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Amend §4</w:t>
            </w:r>
            <w:r w:rsidR="00926FFB" w:rsidRPr="000F779A">
              <w:rPr>
                <w:rFonts w:asciiTheme="minorHAnsi" w:eastAsia="Calibri" w:hAnsiTheme="minorHAnsi" w:cstheme="minorHAnsi"/>
                <w:b/>
                <w:bCs/>
                <w:i/>
                <w:iCs/>
                <w:sz w:val="22"/>
                <w:szCs w:val="22"/>
              </w:rPr>
              <w:t>22</w:t>
            </w:r>
            <w:r w:rsidRPr="000F779A">
              <w:rPr>
                <w:rFonts w:asciiTheme="minorHAnsi" w:eastAsia="Calibri" w:hAnsiTheme="minorHAnsi" w:cstheme="minorHAnsi"/>
                <w:b/>
                <w:bCs/>
                <w:i/>
                <w:iCs/>
                <w:sz w:val="22"/>
                <w:szCs w:val="22"/>
              </w:rPr>
              <w:t>.</w:t>
            </w:r>
            <w:r w:rsidR="00926FFB" w:rsidRPr="000F779A">
              <w:rPr>
                <w:rFonts w:asciiTheme="minorHAnsi" w:eastAsia="Calibri" w:hAnsiTheme="minorHAnsi" w:cstheme="minorHAnsi"/>
                <w:b/>
                <w:bCs/>
                <w:i/>
                <w:iCs/>
                <w:sz w:val="22"/>
                <w:szCs w:val="22"/>
              </w:rPr>
              <w:t>119</w:t>
            </w:r>
            <w:r w:rsidRPr="000F779A">
              <w:rPr>
                <w:rFonts w:asciiTheme="minorHAnsi" w:eastAsia="Calibri" w:hAnsiTheme="minorHAnsi" w:cstheme="minorHAnsi"/>
                <w:b/>
                <w:bCs/>
                <w:i/>
                <w:iCs/>
                <w:sz w:val="22"/>
                <w:szCs w:val="22"/>
              </w:rPr>
              <w:t xml:space="preserve"> by—</w:t>
            </w:r>
          </w:p>
          <w:p w14:paraId="365CD116" w14:textId="031C3D15" w:rsidR="004841B1" w:rsidRPr="000F779A" w:rsidRDefault="004841B1" w:rsidP="00013DFB">
            <w:pPr>
              <w:pStyle w:val="ListParagraph"/>
              <w:widowControl w:val="0"/>
              <w:numPr>
                <w:ilvl w:val="0"/>
                <w:numId w:val="35"/>
              </w:numPr>
              <w:rPr>
                <w:rFonts w:asciiTheme="minorHAnsi" w:eastAsia="Calibri" w:hAnsiTheme="minorHAnsi" w:cstheme="minorHAnsi"/>
                <w:sz w:val="22"/>
                <w:szCs w:val="22"/>
              </w:rPr>
            </w:pPr>
            <w:r w:rsidRPr="000F779A">
              <w:rPr>
                <w:rFonts w:asciiTheme="minorHAnsi" w:eastAsia="Calibri" w:hAnsiTheme="minorHAnsi" w:cstheme="minorHAnsi"/>
                <w:sz w:val="22"/>
                <w:szCs w:val="22"/>
              </w:rPr>
              <w:t>In paragraph (b)(1)(ii), removing</w:t>
            </w:r>
            <w:r w:rsidR="00942E2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w:t>
            </w:r>
            <w:r w:rsidR="00942E2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word ‘‘and’’ at the end of the paragraph</w:t>
            </w:r>
            <w:r w:rsidR="00942E2F" w:rsidRPr="000F779A">
              <w:rPr>
                <w:rFonts w:asciiTheme="minorHAnsi" w:eastAsia="Calibri" w:hAnsiTheme="minorHAnsi" w:cstheme="minorHAnsi"/>
                <w:sz w:val="22"/>
                <w:szCs w:val="22"/>
              </w:rPr>
              <w:t>.</w:t>
            </w:r>
          </w:p>
          <w:p w14:paraId="21CDFFBA" w14:textId="73AA210A" w:rsidR="004841B1" w:rsidRPr="000F779A" w:rsidRDefault="004841B1" w:rsidP="00013DFB">
            <w:pPr>
              <w:pStyle w:val="ListParagraph"/>
              <w:widowControl w:val="0"/>
              <w:numPr>
                <w:ilvl w:val="0"/>
                <w:numId w:val="35"/>
              </w:numPr>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w:t>
            </w:r>
            <w:r w:rsidR="00942E2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(b)(1)(iii)</w:t>
            </w:r>
            <w:r w:rsidR="00942E2F" w:rsidRPr="000F779A">
              <w:rPr>
                <w:rFonts w:asciiTheme="minorHAnsi" w:eastAsia="Calibri" w:hAnsiTheme="minorHAnsi" w:cstheme="minorHAnsi"/>
                <w:sz w:val="22"/>
                <w:szCs w:val="22"/>
              </w:rPr>
              <w:t>.</w:t>
            </w:r>
          </w:p>
          <w:p w14:paraId="62501CFE" w14:textId="06D2F220" w:rsidR="004841B1" w:rsidRPr="000F779A" w:rsidRDefault="004841B1" w:rsidP="00013DFB">
            <w:pPr>
              <w:pStyle w:val="ListParagraph"/>
              <w:widowControl w:val="0"/>
              <w:numPr>
                <w:ilvl w:val="0"/>
                <w:numId w:val="35"/>
              </w:numPr>
              <w:rPr>
                <w:rFonts w:asciiTheme="minorHAnsi" w:eastAsia="Calibri" w:hAnsiTheme="minorHAnsi" w:cstheme="minorHAnsi"/>
                <w:sz w:val="22"/>
                <w:szCs w:val="22"/>
              </w:rPr>
            </w:pPr>
            <w:r w:rsidRPr="000F779A">
              <w:rPr>
                <w:rFonts w:asciiTheme="minorHAnsi" w:eastAsia="Calibri" w:hAnsiTheme="minorHAnsi" w:cstheme="minorHAnsi"/>
                <w:sz w:val="22"/>
                <w:szCs w:val="22"/>
              </w:rPr>
              <w:t>Adding paragraphs (b)(1)(iv) and</w:t>
            </w:r>
            <w:r w:rsidR="00942E2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(v)</w:t>
            </w:r>
            <w:r w:rsidR="00942E2F" w:rsidRPr="000F779A">
              <w:rPr>
                <w:rFonts w:asciiTheme="minorHAnsi" w:eastAsia="Calibri" w:hAnsiTheme="minorHAnsi" w:cstheme="minorHAnsi"/>
                <w:sz w:val="22"/>
                <w:szCs w:val="22"/>
              </w:rPr>
              <w:t>.</w:t>
            </w:r>
          </w:p>
          <w:p w14:paraId="46D38D90" w14:textId="09A9FAD1" w:rsidR="00926FFB" w:rsidRPr="000F779A" w:rsidRDefault="004841B1" w:rsidP="00013DFB">
            <w:pPr>
              <w:pStyle w:val="ListParagraph"/>
              <w:widowControl w:val="0"/>
              <w:numPr>
                <w:ilvl w:val="0"/>
                <w:numId w:val="35"/>
              </w:numPr>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w:t>
            </w:r>
            <w:r w:rsidR="00942E2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paragraphs (c)(1),</w:t>
            </w:r>
            <w:r w:rsidR="00942E2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(c)(4)(ii)(C), (e)(2), (f), and (h</w:t>
            </w:r>
            <w:r w:rsidR="00BC7D1D" w:rsidRPr="000F779A">
              <w:rPr>
                <w:rFonts w:asciiTheme="minorHAnsi" w:eastAsia="Calibri" w:hAnsiTheme="minorHAnsi" w:cstheme="minorHAnsi"/>
                <w:sz w:val="22"/>
                <w:szCs w:val="22"/>
              </w:rPr>
              <w:t>—Applicability Dates</w:t>
            </w:r>
            <w:r w:rsidRPr="000F779A">
              <w:rPr>
                <w:rFonts w:asciiTheme="minorHAnsi" w:eastAsia="Calibri" w:hAnsiTheme="minorHAnsi" w:cstheme="minorHAnsi"/>
                <w:sz w:val="22"/>
                <w:szCs w:val="22"/>
              </w:rPr>
              <w:t>).</w:t>
            </w:r>
          </w:p>
          <w:p w14:paraId="23907A59" w14:textId="77777777" w:rsidR="00A476B3" w:rsidRPr="000F779A" w:rsidRDefault="00A476B3" w:rsidP="00013DFB">
            <w:pPr>
              <w:widowControl w:val="0"/>
              <w:rPr>
                <w:rFonts w:asciiTheme="minorHAnsi" w:eastAsia="Calibri" w:hAnsiTheme="minorHAnsi" w:cstheme="minorHAnsi"/>
                <w:sz w:val="22"/>
                <w:szCs w:val="22"/>
              </w:rPr>
            </w:pPr>
          </w:p>
          <w:p w14:paraId="7989DC12" w14:textId="3A3D14E4" w:rsidR="00A476B3" w:rsidRPr="000F779A" w:rsidRDefault="00A476B3" w:rsidP="00013DFB">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Dates:</w:t>
            </w:r>
          </w:p>
          <w:p w14:paraId="347FEECD" w14:textId="7328E7EA" w:rsidR="00A476B3" w:rsidRPr="000F779A" w:rsidRDefault="00A476B3"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§422.119(e) and (g)</w:t>
            </w:r>
            <w:r w:rsidR="00BC7D1D" w:rsidRPr="000F779A">
              <w:rPr>
                <w:rFonts w:asciiTheme="minorHAnsi" w:eastAsia="Calibri" w:hAnsiTheme="minorHAnsi" w:cstheme="minorHAnsi"/>
                <w:sz w:val="22"/>
                <w:szCs w:val="22"/>
              </w:rPr>
              <w:t>—The effective date of the final rule.</w:t>
            </w:r>
          </w:p>
          <w:p w14:paraId="1D46D770" w14:textId="77777777" w:rsidR="00BC7D1D" w:rsidRPr="000F779A" w:rsidRDefault="00BC7D1D" w:rsidP="00013DFB">
            <w:pPr>
              <w:widowControl w:val="0"/>
              <w:rPr>
                <w:rFonts w:asciiTheme="minorHAnsi" w:eastAsia="Calibri" w:hAnsiTheme="minorHAnsi" w:cstheme="minorHAnsi"/>
                <w:sz w:val="22"/>
                <w:szCs w:val="22"/>
              </w:rPr>
            </w:pPr>
          </w:p>
          <w:p w14:paraId="083D2FEA" w14:textId="72E986B9" w:rsidR="00BC7D1D" w:rsidRPr="000F779A" w:rsidRDefault="00BC7D1D"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§422.119(f)</w:t>
            </w:r>
            <w:r w:rsidR="006632F0" w:rsidRPr="000F779A">
              <w:rPr>
                <w:rFonts w:asciiTheme="minorHAnsi" w:eastAsia="Calibri" w:hAnsiTheme="minorHAnsi" w:cstheme="minorHAnsi"/>
                <w:sz w:val="22"/>
                <w:szCs w:val="22"/>
              </w:rPr>
              <w:t>—Beginning January 1, 2026</w:t>
            </w:r>
          </w:p>
          <w:p w14:paraId="7D0E2012" w14:textId="77777777" w:rsidR="00CC758E" w:rsidRPr="000F779A" w:rsidRDefault="00CC758E" w:rsidP="00013DFB">
            <w:pPr>
              <w:widowControl w:val="0"/>
              <w:rPr>
                <w:rFonts w:asciiTheme="minorHAnsi" w:eastAsia="Calibri" w:hAnsiTheme="minorHAnsi" w:cstheme="minorHAnsi"/>
                <w:b/>
                <w:sz w:val="22"/>
                <w:szCs w:val="22"/>
              </w:rPr>
            </w:pPr>
          </w:p>
        </w:tc>
        <w:tc>
          <w:tcPr>
            <w:tcW w:w="7290" w:type="dxa"/>
            <w:shd w:val="clear" w:color="auto" w:fill="auto"/>
          </w:tcPr>
          <w:p w14:paraId="7478D310" w14:textId="210B1EEA" w:rsidR="00B31176" w:rsidRPr="000F779A" w:rsidRDefault="00C3682D" w:rsidP="00013DFB">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§422.119</w:t>
            </w:r>
            <w:r w:rsidR="00D472E9" w:rsidRPr="000F779A">
              <w:rPr>
                <w:rFonts w:asciiTheme="minorHAnsi" w:eastAsia="Calibri" w:hAnsiTheme="minorHAnsi" w:cstheme="minorHAnsi"/>
                <w:b/>
                <w:bCs/>
                <w:i/>
                <w:iCs/>
                <w:sz w:val="22"/>
                <w:szCs w:val="22"/>
              </w:rPr>
              <w:t xml:space="preserve"> </w:t>
            </w:r>
            <w:r w:rsidR="003E40C5" w:rsidRPr="000F779A">
              <w:rPr>
                <w:rFonts w:asciiTheme="minorHAnsi" w:eastAsia="Calibri" w:hAnsiTheme="minorHAnsi" w:cstheme="minorHAnsi"/>
                <w:b/>
                <w:bCs/>
                <w:i/>
                <w:iCs/>
                <w:sz w:val="22"/>
                <w:szCs w:val="22"/>
              </w:rPr>
              <w:t>Access to and exchange of health data and plan information.</w:t>
            </w:r>
          </w:p>
          <w:p w14:paraId="19162516" w14:textId="77777777" w:rsidR="00E31331" w:rsidRPr="000F779A" w:rsidRDefault="00E31331" w:rsidP="00E31331">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t>(b)(1)</w:t>
            </w:r>
            <w:r w:rsidRPr="000F779A">
              <w:rPr>
                <w:rFonts w:asciiTheme="minorHAnsi" w:hAnsiTheme="minorHAnsi" w:cstheme="minorHAnsi"/>
                <w:b/>
                <w:bCs/>
                <w:color w:val="333333"/>
                <w:sz w:val="29"/>
                <w:szCs w:val="29"/>
                <w:shd w:val="clear" w:color="auto" w:fill="FFFFFF"/>
              </w:rPr>
              <w:t xml:space="preserve"> </w:t>
            </w:r>
            <w:r w:rsidRPr="000F779A">
              <w:rPr>
                <w:rFonts w:asciiTheme="minorHAnsi" w:eastAsia="Calibri" w:hAnsiTheme="minorHAnsi" w:cstheme="minorHAnsi"/>
                <w:sz w:val="22"/>
                <w:szCs w:val="22"/>
              </w:rPr>
              <w:t xml:space="preserve">An MA organization must make the following information accessible to its current enrollees or the enrollee's personal representative through the API described in paragraph (a) of this section: </w:t>
            </w:r>
          </w:p>
          <w:p w14:paraId="32DFD306" w14:textId="0D2D2CA3" w:rsidR="00B54230" w:rsidRPr="000F779A" w:rsidRDefault="00BF7CFB" w:rsidP="009F5F78">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(iii)</w:t>
            </w:r>
            <w:r w:rsidRPr="000F779A">
              <w:rPr>
                <w:rFonts w:asciiTheme="minorHAnsi" w:eastAsia="Calibri" w:hAnsiTheme="minorHAnsi" w:cstheme="minorHAnsi"/>
                <w:b/>
                <w:bCs/>
                <w:i/>
                <w:iCs/>
                <w:sz w:val="22"/>
                <w:szCs w:val="22"/>
              </w:rPr>
              <w:t xml:space="preserve"> </w:t>
            </w:r>
            <w:r w:rsidR="00B31176" w:rsidRPr="000F779A">
              <w:rPr>
                <w:rFonts w:asciiTheme="minorHAnsi" w:eastAsia="Calibri" w:hAnsiTheme="minorHAnsi" w:cstheme="minorHAnsi"/>
                <w:sz w:val="22"/>
                <w:szCs w:val="22"/>
              </w:rPr>
              <w:t>All data classes and data elements</w:t>
            </w:r>
            <w:r w:rsidR="007E04B6" w:rsidRPr="000F779A">
              <w:rPr>
                <w:rFonts w:asciiTheme="minorHAnsi" w:eastAsia="Calibri" w:hAnsiTheme="minorHAnsi" w:cstheme="minorHAnsi"/>
                <w:sz w:val="22"/>
                <w:szCs w:val="22"/>
              </w:rPr>
              <w:t xml:space="preserve"> </w:t>
            </w:r>
            <w:r w:rsidR="00B31176" w:rsidRPr="000F779A">
              <w:rPr>
                <w:rFonts w:asciiTheme="minorHAnsi" w:eastAsia="Calibri" w:hAnsiTheme="minorHAnsi" w:cstheme="minorHAnsi"/>
                <w:sz w:val="22"/>
                <w:szCs w:val="22"/>
              </w:rPr>
              <w:t>included in a content standard in 45</w:t>
            </w:r>
            <w:r w:rsidR="00753ED2" w:rsidRPr="000F779A">
              <w:rPr>
                <w:rFonts w:asciiTheme="minorHAnsi" w:eastAsia="Calibri" w:hAnsiTheme="minorHAnsi" w:cstheme="minorHAnsi"/>
                <w:sz w:val="22"/>
                <w:szCs w:val="22"/>
              </w:rPr>
              <w:t xml:space="preserve"> </w:t>
            </w:r>
            <w:r w:rsidR="00B31176" w:rsidRPr="000F779A">
              <w:rPr>
                <w:rFonts w:asciiTheme="minorHAnsi" w:eastAsia="Calibri" w:hAnsiTheme="minorHAnsi" w:cstheme="minorHAnsi"/>
                <w:sz w:val="22"/>
                <w:szCs w:val="22"/>
              </w:rPr>
              <w:t>CFR 170.213 that are maintained by the</w:t>
            </w:r>
            <w:r w:rsidR="00753ED2" w:rsidRPr="000F779A">
              <w:rPr>
                <w:rFonts w:asciiTheme="minorHAnsi" w:eastAsia="Calibri" w:hAnsiTheme="minorHAnsi" w:cstheme="minorHAnsi"/>
                <w:sz w:val="22"/>
                <w:szCs w:val="22"/>
              </w:rPr>
              <w:t xml:space="preserve"> </w:t>
            </w:r>
            <w:r w:rsidR="00B31176" w:rsidRPr="000F779A">
              <w:rPr>
                <w:rFonts w:asciiTheme="minorHAnsi" w:eastAsia="Calibri" w:hAnsiTheme="minorHAnsi" w:cstheme="minorHAnsi"/>
                <w:sz w:val="22"/>
                <w:szCs w:val="22"/>
              </w:rPr>
              <w:t>MA organization no later than 1</w:t>
            </w:r>
            <w:r w:rsidR="00753ED2" w:rsidRPr="000F779A">
              <w:rPr>
                <w:rFonts w:asciiTheme="minorHAnsi" w:eastAsia="Calibri" w:hAnsiTheme="minorHAnsi" w:cstheme="minorHAnsi"/>
                <w:sz w:val="22"/>
                <w:szCs w:val="22"/>
              </w:rPr>
              <w:t xml:space="preserve"> </w:t>
            </w:r>
            <w:r w:rsidR="00B31176" w:rsidRPr="000F779A">
              <w:rPr>
                <w:rFonts w:asciiTheme="minorHAnsi" w:eastAsia="Calibri" w:hAnsiTheme="minorHAnsi" w:cstheme="minorHAnsi"/>
                <w:sz w:val="22"/>
                <w:szCs w:val="22"/>
              </w:rPr>
              <w:t>business day after the MA organization</w:t>
            </w:r>
            <w:r w:rsidR="00753ED2" w:rsidRPr="000F779A">
              <w:rPr>
                <w:rFonts w:asciiTheme="minorHAnsi" w:eastAsia="Calibri" w:hAnsiTheme="minorHAnsi" w:cstheme="minorHAnsi"/>
                <w:sz w:val="22"/>
                <w:szCs w:val="22"/>
              </w:rPr>
              <w:t xml:space="preserve"> </w:t>
            </w:r>
            <w:r w:rsidR="00B31176" w:rsidRPr="000F779A">
              <w:rPr>
                <w:rFonts w:asciiTheme="minorHAnsi" w:eastAsia="Calibri" w:hAnsiTheme="minorHAnsi" w:cstheme="minorHAnsi"/>
                <w:sz w:val="22"/>
                <w:szCs w:val="22"/>
              </w:rPr>
              <w:t>receives the data; and</w:t>
            </w:r>
            <w:r w:rsidR="00753ED2" w:rsidRPr="000F779A">
              <w:rPr>
                <w:rFonts w:asciiTheme="minorHAnsi" w:eastAsia="Calibri" w:hAnsiTheme="minorHAnsi" w:cstheme="minorHAnsi"/>
                <w:sz w:val="22"/>
                <w:szCs w:val="22"/>
              </w:rPr>
              <w:t xml:space="preserve"> </w:t>
            </w:r>
          </w:p>
          <w:p w14:paraId="2B8F12D3" w14:textId="57A36829" w:rsidR="00B31176" w:rsidRPr="000F779A" w:rsidRDefault="00B31176" w:rsidP="00013DFB">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(iv) Beginning January 1, 2027, the</w:t>
            </w:r>
            <w:r w:rsidR="00753ED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information in paragraph (b)(1)(iv)(A) of</w:t>
            </w:r>
            <w:r w:rsidR="00753ED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this section about prior authorizations</w:t>
            </w:r>
            <w:r w:rsidR="00753ED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for items and services (excluding drugs,</w:t>
            </w:r>
            <w:r w:rsidR="00753ED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as defined in paragraph (b)(1)(v) of this</w:t>
            </w:r>
            <w:r w:rsidR="00753ED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section), according to the timelines in</w:t>
            </w:r>
            <w:r w:rsidR="00753ED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 (b)(1)(iv)(B) of this section.</w:t>
            </w:r>
          </w:p>
          <w:p w14:paraId="7DDE7E7D" w14:textId="02E070B3"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The prior authorization request</w:t>
            </w:r>
            <w:r w:rsidR="00750B85"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decision, including all of the</w:t>
            </w:r>
            <w:r w:rsidR="00750B85"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following, as applicable:</w:t>
            </w:r>
          </w:p>
          <w:p w14:paraId="5BA77A7E" w14:textId="77777777"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The prior authorization status.</w:t>
            </w:r>
          </w:p>
          <w:p w14:paraId="500BEE88" w14:textId="7090A3A2"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The date the prior authorization</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was approved or denied.</w:t>
            </w:r>
          </w:p>
          <w:p w14:paraId="1DAB5ED2" w14:textId="0F1186E0"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3</w:t>
            </w:r>
            <w:r w:rsidRPr="000F779A">
              <w:rPr>
                <w:rFonts w:asciiTheme="minorHAnsi" w:eastAsia="Calibri" w:hAnsiTheme="minorHAnsi" w:cstheme="minorHAnsi"/>
                <w:sz w:val="22"/>
                <w:szCs w:val="22"/>
              </w:rPr>
              <w:t>) The date or circumstance under</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which the prior authorization ends.</w:t>
            </w:r>
          </w:p>
          <w:p w14:paraId="52616B3D" w14:textId="77777777"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4</w:t>
            </w:r>
            <w:r w:rsidRPr="000F779A">
              <w:rPr>
                <w:rFonts w:asciiTheme="minorHAnsi" w:eastAsia="Calibri" w:hAnsiTheme="minorHAnsi" w:cstheme="minorHAnsi"/>
                <w:sz w:val="22"/>
                <w:szCs w:val="22"/>
              </w:rPr>
              <w:t>) The items and services approved.</w:t>
            </w:r>
          </w:p>
          <w:p w14:paraId="285C1697" w14:textId="7E0EE087"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5</w:t>
            </w:r>
            <w:r w:rsidRPr="000F779A">
              <w:rPr>
                <w:rFonts w:asciiTheme="minorHAnsi" w:eastAsia="Calibri" w:hAnsiTheme="minorHAnsi" w:cstheme="minorHAnsi"/>
                <w:sz w:val="22"/>
                <w:szCs w:val="22"/>
              </w:rPr>
              <w:t>) If denied, a specific reason why</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request was denied.</w:t>
            </w:r>
          </w:p>
          <w:p w14:paraId="06CFDD8B" w14:textId="6CA873CD"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6</w:t>
            </w:r>
            <w:r w:rsidRPr="000F779A">
              <w:rPr>
                <w:rFonts w:asciiTheme="minorHAnsi" w:eastAsia="Calibri" w:hAnsiTheme="minorHAnsi" w:cstheme="minorHAnsi"/>
                <w:sz w:val="22"/>
                <w:szCs w:val="22"/>
              </w:rPr>
              <w:t>) Related structured administrative</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clinical documentation submitted</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by a provider.</w:t>
            </w:r>
          </w:p>
          <w:p w14:paraId="2199DFB6" w14:textId="7029DB10"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The information in paragraph</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(b)(1)(iv)(A) of this section must—</w:t>
            </w:r>
          </w:p>
          <w:p w14:paraId="79132D20" w14:textId="226B8162"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Be accessible no later than 1</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business day after the MA organization</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receives a prior authorization request;</w:t>
            </w:r>
          </w:p>
          <w:p w14:paraId="49563EA1" w14:textId="09D9A4A5"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Be updated no later than 1</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business day after any status change;</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w:t>
            </w:r>
          </w:p>
          <w:p w14:paraId="1B1081B0" w14:textId="7D94FC63" w:rsidR="00B31176" w:rsidRPr="000F779A" w:rsidRDefault="00B31176"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3</w:t>
            </w:r>
            <w:r w:rsidRPr="000F779A">
              <w:rPr>
                <w:rFonts w:asciiTheme="minorHAnsi" w:eastAsia="Calibri" w:hAnsiTheme="minorHAnsi" w:cstheme="minorHAnsi"/>
                <w:sz w:val="22"/>
                <w:szCs w:val="22"/>
              </w:rPr>
              <w:t>) Continue to be accessible for the</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duration that the authorization is active</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at least 1 year after the prior</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authorization’s last status change.</w:t>
            </w:r>
          </w:p>
          <w:p w14:paraId="3042248B" w14:textId="1518C266" w:rsidR="00AA7870" w:rsidRPr="000F779A" w:rsidRDefault="00B31176" w:rsidP="00013DFB">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(v) Drugs are defined for the purposes</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of paragraph (b)(1)(iv) of this section as</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any and all drugs covered by the MA</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organization, including any products</w:t>
            </w:r>
            <w:r w:rsidR="00B5423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that constitute a Part D drug, as defined</w:t>
            </w:r>
            <w:r w:rsidR="00B54230" w:rsidRPr="000F779A">
              <w:rPr>
                <w:rFonts w:asciiTheme="minorHAnsi" w:eastAsia="Calibri" w:hAnsiTheme="minorHAnsi" w:cstheme="minorHAnsi"/>
                <w:sz w:val="22"/>
                <w:szCs w:val="22"/>
              </w:rPr>
              <w:t xml:space="preserve"> </w:t>
            </w:r>
            <w:r w:rsidR="00AA7870" w:rsidRPr="000F779A">
              <w:rPr>
                <w:rFonts w:asciiTheme="minorHAnsi" w:eastAsia="Calibri" w:hAnsiTheme="minorHAnsi" w:cstheme="minorHAnsi"/>
                <w:sz w:val="22"/>
                <w:szCs w:val="22"/>
              </w:rPr>
              <w:t>by §423.100 of this chapter, and are</w:t>
            </w:r>
            <w:r w:rsidR="00636DC1" w:rsidRPr="000F779A">
              <w:rPr>
                <w:rFonts w:asciiTheme="minorHAnsi" w:eastAsia="Calibri" w:hAnsiTheme="minorHAnsi" w:cstheme="minorHAnsi"/>
                <w:sz w:val="22"/>
                <w:szCs w:val="22"/>
              </w:rPr>
              <w:t xml:space="preserve"> </w:t>
            </w:r>
            <w:r w:rsidR="00AA7870" w:rsidRPr="000F779A">
              <w:rPr>
                <w:rFonts w:asciiTheme="minorHAnsi" w:eastAsia="Calibri" w:hAnsiTheme="minorHAnsi" w:cstheme="minorHAnsi"/>
                <w:sz w:val="22"/>
                <w:szCs w:val="22"/>
              </w:rPr>
              <w:t>covered under the Medicare Part D</w:t>
            </w:r>
            <w:r w:rsidR="00636DC1" w:rsidRPr="000F779A">
              <w:rPr>
                <w:rFonts w:asciiTheme="minorHAnsi" w:eastAsia="Calibri" w:hAnsiTheme="minorHAnsi" w:cstheme="minorHAnsi"/>
                <w:sz w:val="22"/>
                <w:szCs w:val="22"/>
              </w:rPr>
              <w:t xml:space="preserve"> </w:t>
            </w:r>
            <w:r w:rsidR="00AA7870" w:rsidRPr="000F779A">
              <w:rPr>
                <w:rFonts w:asciiTheme="minorHAnsi" w:eastAsia="Calibri" w:hAnsiTheme="minorHAnsi" w:cstheme="minorHAnsi"/>
                <w:sz w:val="22"/>
                <w:szCs w:val="22"/>
              </w:rPr>
              <w:t>benefit.</w:t>
            </w:r>
          </w:p>
          <w:p w14:paraId="7AE03144" w14:textId="32F35088" w:rsidR="00AA7870" w:rsidRPr="000F779A" w:rsidRDefault="00AA7870" w:rsidP="00013DF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(c)(1)</w:t>
            </w:r>
            <w:r w:rsidRPr="000F779A">
              <w:rPr>
                <w:rFonts w:asciiTheme="minorHAnsi" w:eastAsia="Calibri" w:hAnsiTheme="minorHAnsi" w:cstheme="minorHAnsi"/>
                <w:sz w:val="22"/>
                <w:szCs w:val="22"/>
              </w:rPr>
              <w:t xml:space="preserve"> Must implement and maintain API</w:t>
            </w:r>
            <w:r w:rsidR="00636D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technology conformant with 45 CFR</w:t>
            </w:r>
          </w:p>
          <w:p w14:paraId="70E9BF49" w14:textId="73C221BC" w:rsidR="00AA7870" w:rsidRPr="000F779A" w:rsidRDefault="00AA7870" w:rsidP="00013DFB">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170.215(a)(1), (b)(1)(i), (c)(1), and (e)(1)</w:t>
            </w:r>
            <w:r w:rsidR="00636DC1" w:rsidRPr="000F779A">
              <w:rPr>
                <w:rFonts w:asciiTheme="minorHAnsi" w:eastAsia="Calibri" w:hAnsiTheme="minorHAnsi" w:cstheme="minorHAnsi"/>
                <w:sz w:val="22"/>
                <w:szCs w:val="22"/>
              </w:rPr>
              <w:t>.</w:t>
            </w:r>
          </w:p>
          <w:p w14:paraId="65D0D02F" w14:textId="7C96CD1F" w:rsidR="005B6154" w:rsidRPr="000F779A" w:rsidRDefault="001B376D" w:rsidP="00013DF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(c)</w:t>
            </w:r>
            <w:r w:rsidR="00AA7870" w:rsidRPr="000F779A">
              <w:rPr>
                <w:rFonts w:asciiTheme="minorHAnsi" w:eastAsia="Calibri" w:hAnsiTheme="minorHAnsi" w:cstheme="minorHAnsi"/>
                <w:b/>
                <w:bCs/>
                <w:sz w:val="22"/>
                <w:szCs w:val="22"/>
              </w:rPr>
              <w:t>(4)</w:t>
            </w:r>
            <w:r w:rsidR="00C87FFB" w:rsidRPr="000F779A">
              <w:rPr>
                <w:rFonts w:asciiTheme="minorHAnsi" w:hAnsiTheme="minorHAnsi" w:cstheme="minorHAnsi"/>
                <w:color w:val="333333"/>
                <w:shd w:val="clear" w:color="auto" w:fill="FFFFFF"/>
              </w:rPr>
              <w:t xml:space="preserve"> </w:t>
            </w:r>
            <w:r w:rsidR="00C87FFB" w:rsidRPr="000F779A">
              <w:rPr>
                <w:rFonts w:asciiTheme="minorHAnsi" w:eastAsia="Calibri" w:hAnsiTheme="minorHAnsi" w:cstheme="minorHAnsi"/>
                <w:sz w:val="22"/>
                <w:szCs w:val="22"/>
              </w:rPr>
              <w:t>May use an updated version of any standard or all standards required under paragraph (c)(1) or (3) of this section, where:</w:t>
            </w:r>
          </w:p>
          <w:p w14:paraId="6994F8CE" w14:textId="61A54B81" w:rsidR="005B6154" w:rsidRPr="000F779A" w:rsidRDefault="00AA7870" w:rsidP="00013DFB">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w:t>
            </w:r>
            <w:r w:rsidR="00FC0BDE" w:rsidRPr="000F779A">
              <w:rPr>
                <w:rFonts w:asciiTheme="minorHAnsi" w:eastAsia="Calibri" w:hAnsiTheme="minorHAnsi" w:cstheme="minorHAnsi"/>
                <w:sz w:val="22"/>
                <w:szCs w:val="22"/>
              </w:rPr>
              <w:t>Use of the updated version of the standard is not prohibited under other applicable law, provided that:</w:t>
            </w:r>
          </w:p>
          <w:p w14:paraId="28C1C175" w14:textId="41925242" w:rsidR="00AA7870" w:rsidRPr="000F779A" w:rsidRDefault="00AA7870" w:rsidP="00013DFB">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Using the updated version of the</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standard, implementation guide, or</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specification does not disrupt an end</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user’s ability to access the data specified</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 paragraph (b) of this section or</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§422.120, </w:t>
            </w:r>
            <w:r w:rsidR="00B3303F" w:rsidRPr="000F779A">
              <w:rPr>
                <w:rFonts w:asciiTheme="minorHAnsi" w:eastAsia="Calibri" w:hAnsiTheme="minorHAnsi" w:cstheme="minorHAnsi"/>
                <w:sz w:val="22"/>
                <w:szCs w:val="22"/>
              </w:rPr>
              <w:t>§</w:t>
            </w:r>
            <w:r w:rsidRPr="000F779A">
              <w:rPr>
                <w:rFonts w:asciiTheme="minorHAnsi" w:eastAsia="Calibri" w:hAnsiTheme="minorHAnsi" w:cstheme="minorHAnsi"/>
                <w:sz w:val="22"/>
                <w:szCs w:val="22"/>
              </w:rPr>
              <w:t xml:space="preserve">422.121, and </w:t>
            </w:r>
            <w:r w:rsidR="00B3303F" w:rsidRPr="000F779A">
              <w:rPr>
                <w:rFonts w:asciiTheme="minorHAnsi" w:eastAsia="Calibri" w:hAnsiTheme="minorHAnsi" w:cstheme="minorHAnsi"/>
                <w:sz w:val="22"/>
                <w:szCs w:val="22"/>
              </w:rPr>
              <w:t>§</w:t>
            </w:r>
            <w:r w:rsidRPr="000F779A">
              <w:rPr>
                <w:rFonts w:asciiTheme="minorHAnsi" w:eastAsia="Calibri" w:hAnsiTheme="minorHAnsi" w:cstheme="minorHAnsi"/>
                <w:sz w:val="22"/>
                <w:szCs w:val="22"/>
              </w:rPr>
              <w:t>422.122</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through the required APIs.</w:t>
            </w:r>
          </w:p>
          <w:p w14:paraId="426ED20E" w14:textId="44B24D5F" w:rsidR="00AA7870" w:rsidRPr="000F779A" w:rsidRDefault="00AA7870" w:rsidP="00013DF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(e)(2)</w:t>
            </w:r>
            <w:r w:rsidRPr="000F779A">
              <w:rPr>
                <w:rFonts w:asciiTheme="minorHAnsi" w:eastAsia="Calibri" w:hAnsiTheme="minorHAnsi" w:cstheme="minorHAnsi"/>
                <w:sz w:val="22"/>
                <w:szCs w:val="22"/>
              </w:rPr>
              <w:t xml:space="preserve"> Makes this determination using</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objective, verifiable criteria that are</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applied fairly and consistently across all</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apps and developers through which</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parties seek to access electronic health</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information, as defined in 45 CFR</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171.102, including but not limited to,</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criteria that rely on automated</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monitoring and risk mitigation tools.</w:t>
            </w:r>
          </w:p>
          <w:p w14:paraId="2E63843A" w14:textId="056447BB" w:rsidR="00AA7870" w:rsidRPr="000F779A" w:rsidRDefault="00AA7870" w:rsidP="00013DF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(f)</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Reporting on Patient Access API</w:t>
            </w:r>
            <w:r w:rsidR="005A09DF"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i/>
                <w:iCs/>
                <w:sz w:val="22"/>
                <w:szCs w:val="22"/>
              </w:rPr>
              <w:t xml:space="preserve">usage. </w:t>
            </w:r>
            <w:r w:rsidRPr="000F779A">
              <w:rPr>
                <w:rFonts w:asciiTheme="minorHAnsi" w:eastAsia="Calibri" w:hAnsiTheme="minorHAnsi" w:cstheme="minorHAnsi"/>
                <w:sz w:val="22"/>
                <w:szCs w:val="22"/>
              </w:rPr>
              <w:t>Beginning in 2026, by March 31</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following any calendar year that it offers</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 MA plan, an MA organization must</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report to CMS the following metrics, in</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form of aggregated, de-identified</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data, for the previous calendar year at</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contract level in the form and</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manner specified by the Secretary:</w:t>
            </w:r>
          </w:p>
          <w:p w14:paraId="4C32FAE3" w14:textId="196010DD" w:rsidR="00AA7870" w:rsidRPr="000F779A" w:rsidRDefault="00AA7870" w:rsidP="00013DF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(1) The total number of unique</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enrollees whose data are transferred via</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Patient Access API to a health app</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designated by the enrollee.</w:t>
            </w:r>
          </w:p>
          <w:p w14:paraId="21F13CCA" w14:textId="6D06E301" w:rsidR="00CC758E" w:rsidRPr="000F779A" w:rsidRDefault="00AA7870" w:rsidP="00013DF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(2) The total number of unique</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enrollees whose data are transferred</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more </w:t>
            </w:r>
            <w:r w:rsidRPr="000F779A">
              <w:rPr>
                <w:rFonts w:asciiTheme="minorHAnsi" w:eastAsia="Calibri" w:hAnsiTheme="minorHAnsi" w:cstheme="minorHAnsi"/>
                <w:sz w:val="22"/>
                <w:szCs w:val="22"/>
              </w:rPr>
              <w:lastRenderedPageBreak/>
              <w:t>than once via the Patient Access</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API to a health app designated by the</w:t>
            </w:r>
            <w:r w:rsidR="005A09D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enrollee.</w:t>
            </w:r>
          </w:p>
        </w:tc>
        <w:tc>
          <w:tcPr>
            <w:tcW w:w="4140" w:type="dxa"/>
            <w:shd w:val="clear" w:color="auto" w:fill="auto"/>
          </w:tcPr>
          <w:p w14:paraId="15FDBDA4" w14:textId="613868A6" w:rsidR="009B6819" w:rsidRPr="000F779A" w:rsidRDefault="009B6819" w:rsidP="009B6819">
            <w:pPr>
              <w:widowControl w:val="0"/>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lastRenderedPageBreak/>
              <w:t xml:space="preserve">Changes in this rule require the impacted payers (under 42 CFR Part 422—the MA organization; under 42 CFR Part 431—the state agency responsible for administering Medicaid and CHIP FFS; under Part 438—the Medicaid and/or CHIP MCO, PIHP, or PAHP) to implement and maintain a standards-based Patient Access Application Programming Interface (API). The Patient Access API must allow patients, through the health apps of their choice, to easily access their claims and encounter information as well as clinical data, including laboratory results, provider remittances, and patient cost-sharing pertaining to such claims, if maintained by the impacted payer. </w:t>
            </w:r>
          </w:p>
          <w:p w14:paraId="305D45DB" w14:textId="77777777" w:rsidR="004156FE" w:rsidRPr="000F779A" w:rsidRDefault="004156FE" w:rsidP="009B6819">
            <w:pPr>
              <w:widowControl w:val="0"/>
              <w:rPr>
                <w:rFonts w:asciiTheme="minorHAnsi" w:eastAsia="Calibri" w:hAnsiTheme="minorHAnsi" w:cstheme="minorHAnsi"/>
                <w:bCs/>
                <w:sz w:val="22"/>
                <w:szCs w:val="22"/>
              </w:rPr>
            </w:pPr>
          </w:p>
          <w:p w14:paraId="38E05F95" w14:textId="02E9D4A1" w:rsidR="004156FE" w:rsidRPr="000F779A" w:rsidRDefault="004156FE" w:rsidP="004156FE">
            <w:pPr>
              <w:widowControl w:val="0"/>
              <w:rPr>
                <w:rFonts w:asciiTheme="minorHAnsi" w:eastAsia="Calibri" w:hAnsiTheme="minorHAnsi" w:cstheme="minorHAnsi"/>
                <w:b/>
                <w:i/>
                <w:iCs/>
                <w:sz w:val="22"/>
                <w:szCs w:val="22"/>
              </w:rPr>
            </w:pPr>
            <w:r w:rsidRPr="000F779A">
              <w:rPr>
                <w:rFonts w:asciiTheme="minorHAnsi" w:eastAsia="Calibri" w:hAnsiTheme="minorHAnsi" w:cstheme="minorHAnsi"/>
                <w:b/>
                <w:i/>
                <w:iCs/>
                <w:sz w:val="22"/>
                <w:szCs w:val="22"/>
              </w:rPr>
              <w:t>D-SNP Comments (related to reporting on Patient usage of the Patient Access API):</w:t>
            </w:r>
          </w:p>
          <w:p w14:paraId="12BFAF66" w14:textId="77777777" w:rsidR="004156FE" w:rsidRPr="000F779A" w:rsidRDefault="004156FE" w:rsidP="004156FE">
            <w:pPr>
              <w:widowControl w:val="0"/>
              <w:rPr>
                <w:rFonts w:asciiTheme="minorHAnsi" w:eastAsia="Calibri" w:hAnsiTheme="minorHAnsi" w:cstheme="minorHAnsi"/>
                <w:bCs/>
                <w:sz w:val="22"/>
                <w:szCs w:val="22"/>
              </w:rPr>
            </w:pPr>
            <w:r w:rsidRPr="000F779A">
              <w:rPr>
                <w:rFonts w:asciiTheme="minorHAnsi" w:eastAsia="Calibri" w:hAnsiTheme="minorHAnsi" w:cstheme="minorHAnsi"/>
                <w:bCs/>
                <w:i/>
                <w:iCs/>
                <w:sz w:val="22"/>
                <w:szCs w:val="22"/>
              </w:rPr>
              <w:t xml:space="preserve">Comment: </w:t>
            </w:r>
            <w:r w:rsidRPr="000F779A">
              <w:rPr>
                <w:rFonts w:asciiTheme="minorHAnsi" w:eastAsia="Calibri" w:hAnsiTheme="minorHAnsi" w:cstheme="minorHAnsi"/>
                <w:bCs/>
                <w:sz w:val="22"/>
                <w:szCs w:val="22"/>
              </w:rPr>
              <w:t>A few commenters requested that we explain whether integrated care plans for dually eligible individuals, such as fully integrated dual eligible special needs plans (FIDE SNPs), should report consistent with MA organizations, at the contract level, or with Medicaid managed care plans, at the plan level.</w:t>
            </w:r>
          </w:p>
          <w:p w14:paraId="5EB88E7B" w14:textId="77777777" w:rsidR="004156FE" w:rsidRPr="000F779A" w:rsidRDefault="004156FE" w:rsidP="004156FE">
            <w:pPr>
              <w:widowControl w:val="0"/>
              <w:rPr>
                <w:rFonts w:asciiTheme="minorHAnsi" w:eastAsia="Calibri" w:hAnsiTheme="minorHAnsi" w:cstheme="minorHAnsi"/>
                <w:bCs/>
                <w:sz w:val="22"/>
                <w:szCs w:val="22"/>
              </w:rPr>
            </w:pPr>
            <w:r w:rsidRPr="000F779A">
              <w:rPr>
                <w:rFonts w:asciiTheme="minorHAnsi" w:eastAsia="Calibri" w:hAnsiTheme="minorHAnsi" w:cstheme="minorHAnsi"/>
                <w:bCs/>
                <w:i/>
                <w:iCs/>
                <w:sz w:val="22"/>
                <w:szCs w:val="22"/>
              </w:rPr>
              <w:t xml:space="preserve">Response: </w:t>
            </w:r>
            <w:r w:rsidRPr="000F779A">
              <w:rPr>
                <w:rFonts w:asciiTheme="minorHAnsi" w:eastAsia="Calibri" w:hAnsiTheme="minorHAnsi" w:cstheme="minorHAnsi"/>
                <w:bCs/>
                <w:sz w:val="22"/>
                <w:szCs w:val="22"/>
              </w:rPr>
              <w:t xml:space="preserve">An integrated care plan generally </w:t>
            </w:r>
            <w:r w:rsidRPr="000F779A">
              <w:rPr>
                <w:rFonts w:asciiTheme="minorHAnsi" w:eastAsia="Calibri" w:hAnsiTheme="minorHAnsi" w:cstheme="minorHAnsi"/>
                <w:bCs/>
                <w:sz w:val="22"/>
                <w:szCs w:val="22"/>
              </w:rPr>
              <w:lastRenderedPageBreak/>
              <w:t>combines a dual eligible special needs plan (D–SNP), which includes FIDE SNPs and highly integrated dual eligible special needs</w:t>
            </w:r>
          </w:p>
          <w:p w14:paraId="693EE7E3" w14:textId="77777777" w:rsidR="004156FE" w:rsidRPr="000F779A" w:rsidRDefault="004156FE" w:rsidP="004156FE">
            <w:pPr>
              <w:widowControl w:val="0"/>
              <w:rPr>
                <w:rFonts w:asciiTheme="minorHAnsi" w:eastAsia="Calibri" w:hAnsiTheme="minorHAnsi" w:cstheme="minorHAnsi"/>
                <w:b/>
                <w:sz w:val="22"/>
                <w:szCs w:val="22"/>
              </w:rPr>
            </w:pPr>
            <w:r w:rsidRPr="000F779A">
              <w:rPr>
                <w:rFonts w:asciiTheme="minorHAnsi" w:eastAsia="Calibri" w:hAnsiTheme="minorHAnsi" w:cstheme="minorHAnsi"/>
                <w:bCs/>
                <w:sz w:val="22"/>
                <w:szCs w:val="22"/>
              </w:rPr>
              <w:t xml:space="preserve">plans (HIDE SNPs)—both as defined at 42 CFR 422.2, and a Medicaid managed care plan offered by the same parent organization. </w:t>
            </w:r>
            <w:r w:rsidRPr="000F779A">
              <w:rPr>
                <w:rFonts w:asciiTheme="minorHAnsi" w:eastAsia="Calibri" w:hAnsiTheme="minorHAnsi" w:cstheme="minorHAnsi"/>
                <w:b/>
                <w:sz w:val="22"/>
                <w:szCs w:val="22"/>
              </w:rPr>
              <w:t>D–SNPs are a type of MA</w:t>
            </w:r>
          </w:p>
          <w:p w14:paraId="3EB5DABD" w14:textId="4047F067" w:rsidR="00CC758E" w:rsidRPr="000F779A" w:rsidRDefault="004156FE" w:rsidP="00035A00">
            <w:pPr>
              <w:widowControl w:val="0"/>
              <w:rPr>
                <w:rFonts w:asciiTheme="minorHAnsi" w:eastAsia="Calibri" w:hAnsiTheme="minorHAnsi" w:cstheme="minorHAnsi"/>
                <w:bCs/>
                <w:sz w:val="22"/>
                <w:szCs w:val="22"/>
              </w:rPr>
            </w:pPr>
            <w:r w:rsidRPr="000F779A">
              <w:rPr>
                <w:rFonts w:asciiTheme="minorHAnsi" w:eastAsia="Calibri" w:hAnsiTheme="minorHAnsi" w:cstheme="minorHAnsi"/>
                <w:b/>
                <w:sz w:val="22"/>
                <w:szCs w:val="22"/>
              </w:rPr>
              <w:t>plan</w:t>
            </w:r>
            <w:r w:rsidRPr="000F779A">
              <w:rPr>
                <w:rFonts w:asciiTheme="minorHAnsi" w:eastAsia="Calibri" w:hAnsiTheme="minorHAnsi" w:cstheme="minorHAnsi"/>
                <w:bCs/>
                <w:sz w:val="22"/>
                <w:szCs w:val="22"/>
              </w:rPr>
              <w:t xml:space="preserve"> designed to meet the needs of individuals who are dually eligible for Medicare and Medicaid, also known as dually eligible individuals. Therefore, an MA organization will report information about Patient Access API usage by its D–SNP enrollees to CMS at the MA  organization’s contract level. The affiliated Medicaid managed care plan will report information about Patient Access API usage by its enrollees to CMS at the plan level. We understand that this means an organization that offers an integrated product for dually eligible individuals (for example, a FIDE SNP), may report twice and in different ways for the same population. We do not believe this duplication outweighs the benefits of capturing the data as we proposed, but we may consider future rulemaking to separate reporting for integrated D–SNPs from the overall MA </w:t>
            </w:r>
            <w:r w:rsidRPr="000F779A">
              <w:rPr>
                <w:rFonts w:asciiTheme="minorHAnsi" w:eastAsia="Calibri" w:hAnsiTheme="minorHAnsi" w:cstheme="minorHAnsi"/>
                <w:bCs/>
                <w:sz w:val="22"/>
                <w:szCs w:val="22"/>
              </w:rPr>
              <w:lastRenderedPageBreak/>
              <w:t>organization.</w:t>
            </w:r>
          </w:p>
        </w:tc>
      </w:tr>
      <w:tr w:rsidR="00743B34" w:rsidRPr="000F779A" w14:paraId="38E35CC0" w14:textId="77777777" w:rsidTr="00213EE4">
        <w:trPr>
          <w:trHeight w:val="360"/>
        </w:trPr>
        <w:tc>
          <w:tcPr>
            <w:tcW w:w="2317" w:type="dxa"/>
            <w:shd w:val="clear" w:color="auto" w:fill="auto"/>
          </w:tcPr>
          <w:p w14:paraId="48D7EF29" w14:textId="1BB8FE2D" w:rsidR="00743B34" w:rsidRPr="000F779A" w:rsidRDefault="00743B34" w:rsidP="00D472E9">
            <w:pPr>
              <w:pageBreakBefore/>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Adding §422.121</w:t>
            </w:r>
          </w:p>
        </w:tc>
        <w:tc>
          <w:tcPr>
            <w:tcW w:w="7290" w:type="dxa"/>
            <w:shd w:val="clear" w:color="auto" w:fill="auto"/>
          </w:tcPr>
          <w:p w14:paraId="72A87285" w14:textId="0C679119" w:rsidR="006676E8" w:rsidRPr="000F779A" w:rsidRDefault="006676E8" w:rsidP="00013DFB">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§422.121 Access to and exchange of health data for providers and payers.</w:t>
            </w:r>
          </w:p>
          <w:p w14:paraId="1718865A" w14:textId="724657AD" w:rsidR="00013DFB" w:rsidRPr="000F779A" w:rsidRDefault="006676E8" w:rsidP="00013DFB">
            <w:pPr>
              <w:widowControl w:val="0"/>
              <w:rPr>
                <w:rFonts w:asciiTheme="minorHAnsi" w:eastAsia="Calibri" w:hAnsiTheme="minorHAnsi" w:cstheme="minorHAnsi"/>
                <w:i/>
                <w:iCs/>
                <w:sz w:val="22"/>
                <w:szCs w:val="22"/>
              </w:rPr>
            </w:pPr>
            <w:r w:rsidRPr="000F779A">
              <w:rPr>
                <w:rFonts w:asciiTheme="minorHAnsi" w:eastAsia="Calibri" w:hAnsiTheme="minorHAnsi" w:cstheme="minorHAnsi"/>
                <w:b/>
                <w:bCs/>
                <w:sz w:val="22"/>
                <w:szCs w:val="22"/>
              </w:rPr>
              <w:t>(a)</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Application programming interface to support data exchange from</w:t>
            </w:r>
            <w:r w:rsidR="00013DFB" w:rsidRPr="000F779A">
              <w:rPr>
                <w:rFonts w:asciiTheme="minorHAnsi" w:eastAsia="Calibri" w:hAnsiTheme="minorHAnsi" w:cstheme="minorHAnsi"/>
                <w:i/>
                <w:iCs/>
                <w:sz w:val="22"/>
                <w:szCs w:val="22"/>
              </w:rPr>
              <w:t xml:space="preserve"> payers to providers—Provider Access</w:t>
            </w:r>
            <w:r w:rsidR="00701F13" w:rsidRPr="000F779A">
              <w:rPr>
                <w:rFonts w:asciiTheme="minorHAnsi" w:eastAsia="Calibri" w:hAnsiTheme="minorHAnsi" w:cstheme="minorHAnsi"/>
                <w:i/>
                <w:iCs/>
                <w:sz w:val="22"/>
                <w:szCs w:val="22"/>
              </w:rPr>
              <w:t xml:space="preserve"> </w:t>
            </w:r>
            <w:r w:rsidR="00013DFB" w:rsidRPr="000F779A">
              <w:rPr>
                <w:rFonts w:asciiTheme="minorHAnsi" w:eastAsia="Calibri" w:hAnsiTheme="minorHAnsi" w:cstheme="minorHAnsi"/>
                <w:i/>
                <w:iCs/>
                <w:sz w:val="22"/>
                <w:szCs w:val="22"/>
              </w:rPr>
              <w:t xml:space="preserve">API. </w:t>
            </w:r>
            <w:r w:rsidR="00013DFB" w:rsidRPr="000F779A">
              <w:rPr>
                <w:rFonts w:asciiTheme="minorHAnsi" w:eastAsia="Calibri" w:hAnsiTheme="minorHAnsi" w:cstheme="minorHAnsi"/>
                <w:sz w:val="22"/>
                <w:szCs w:val="22"/>
              </w:rPr>
              <w:t>Beginning January 1, 2027, an MA</w:t>
            </w:r>
            <w:r w:rsidR="00701F13" w:rsidRPr="000F779A">
              <w:rPr>
                <w:rFonts w:asciiTheme="minorHAnsi" w:eastAsia="Calibri" w:hAnsiTheme="minorHAnsi" w:cstheme="minorHAnsi"/>
                <w:sz w:val="22"/>
                <w:szCs w:val="22"/>
              </w:rPr>
              <w:t xml:space="preserve"> </w:t>
            </w:r>
            <w:r w:rsidR="00013DFB" w:rsidRPr="000F779A">
              <w:rPr>
                <w:rFonts w:asciiTheme="minorHAnsi" w:eastAsia="Calibri" w:hAnsiTheme="minorHAnsi" w:cstheme="minorHAnsi"/>
                <w:sz w:val="22"/>
                <w:szCs w:val="22"/>
              </w:rPr>
              <w:t>organization must do the following:</w:t>
            </w:r>
          </w:p>
          <w:p w14:paraId="2E098B9F" w14:textId="517829C7" w:rsidR="00013DFB" w:rsidRPr="000F779A" w:rsidRDefault="00013DFB"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i/>
                <w:iCs/>
                <w:sz w:val="22"/>
                <w:szCs w:val="22"/>
              </w:rPr>
              <w:t xml:space="preserve">(1) API requirements. </w:t>
            </w:r>
            <w:r w:rsidRPr="000F779A">
              <w:rPr>
                <w:rFonts w:asciiTheme="minorHAnsi" w:eastAsia="Calibri" w:hAnsiTheme="minorHAnsi" w:cstheme="minorHAnsi"/>
                <w:sz w:val="22"/>
                <w:szCs w:val="22"/>
              </w:rPr>
              <w:t>Implement and</w:t>
            </w:r>
            <w:r w:rsidR="00701F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maintain an application programming</w:t>
            </w:r>
            <w:r w:rsidR="00701F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interface (API) conformant with all of</w:t>
            </w:r>
            <w:r w:rsidR="00701F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following:</w:t>
            </w:r>
          </w:p>
          <w:p w14:paraId="4F3F01BF" w14:textId="50B82EAC" w:rsidR="00013DFB" w:rsidRPr="000F779A" w:rsidRDefault="00013DFB" w:rsidP="00C646E1">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Section 422.119(c)(2) through (4),</w:t>
            </w:r>
            <w:r w:rsidR="00C646E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 and (e).</w:t>
            </w:r>
          </w:p>
          <w:p w14:paraId="1CDE1A68" w14:textId="120ACB7B" w:rsidR="00013DFB" w:rsidRPr="000F779A" w:rsidRDefault="00013DFB" w:rsidP="00BB646C">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standards in 45 CFR</w:t>
            </w:r>
            <w:r w:rsidR="00BB646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170.215(a)(1), (b)(1)(i), (c)(1), and (d)(1).</w:t>
            </w:r>
          </w:p>
          <w:p w14:paraId="7E37BF64" w14:textId="335504A8" w:rsidR="00013DFB" w:rsidRPr="000F779A" w:rsidRDefault="00013DFB"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i/>
                <w:iCs/>
                <w:sz w:val="22"/>
                <w:szCs w:val="22"/>
              </w:rPr>
              <w:t xml:space="preserve">(2) Provider access. </w:t>
            </w:r>
            <w:r w:rsidRPr="000F779A">
              <w:rPr>
                <w:rFonts w:asciiTheme="minorHAnsi" w:eastAsia="Calibri" w:hAnsiTheme="minorHAnsi" w:cstheme="minorHAnsi"/>
                <w:sz w:val="22"/>
                <w:szCs w:val="22"/>
              </w:rPr>
              <w:t>Make the data</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specified at §422.119(b) with a date of</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service on or after January 1, 2016,</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excluding provider remittances and</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enrollee cost-sharing information, that</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are maintained by the MA organizatio</w:t>
            </w:r>
            <w:r w:rsidR="005B72C0" w:rsidRPr="000F779A">
              <w:rPr>
                <w:rFonts w:asciiTheme="minorHAnsi" w:eastAsia="Calibri" w:hAnsiTheme="minorHAnsi" w:cstheme="minorHAnsi"/>
                <w:sz w:val="22"/>
                <w:szCs w:val="22"/>
              </w:rPr>
              <w:t>n</w:t>
            </w:r>
          </w:p>
          <w:p w14:paraId="4EE84299" w14:textId="3CAF383B" w:rsidR="00013DFB" w:rsidRPr="000F779A" w:rsidRDefault="00013DFB"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available to in-network providers via the</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API required in paragraph (a)(1) of this</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section no later than 1 business day</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after receiving a request from such a</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provider, if all the following conditions</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are met:</w:t>
            </w:r>
          </w:p>
          <w:p w14:paraId="60F1138C" w14:textId="5256D620" w:rsidR="00013DFB" w:rsidRPr="000F779A" w:rsidRDefault="00013DFB" w:rsidP="00EF2EA0">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The MA organization authenticates</w:t>
            </w:r>
            <w:r w:rsidR="005B72C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identity of the provider that requests</w:t>
            </w:r>
            <w:r w:rsidR="00EF2EA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access and attributes the enrollee to the</w:t>
            </w:r>
            <w:r w:rsidR="00EF2EA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provider under the attribution process</w:t>
            </w:r>
            <w:r w:rsidR="00EF2EA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described in paragraph (a)(3) of this</w:t>
            </w:r>
            <w:r w:rsidR="00EF2EA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section.</w:t>
            </w:r>
          </w:p>
          <w:p w14:paraId="04B7A722" w14:textId="24F83B15" w:rsidR="00013DFB" w:rsidRPr="000F779A" w:rsidRDefault="00013DFB" w:rsidP="00EF2EA0">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enrollee does not opt out as</w:t>
            </w:r>
            <w:r w:rsidR="00EF2EA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described in paragraph (a)(4) of this</w:t>
            </w:r>
            <w:r w:rsidR="00EF2EA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section.</w:t>
            </w:r>
          </w:p>
          <w:p w14:paraId="7A929A0B" w14:textId="74C5ADB2" w:rsidR="00013DFB" w:rsidRPr="000F779A" w:rsidRDefault="00013DFB"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(iii) Disclosure of the data is not</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prohibited by other applicable law.</w:t>
            </w:r>
          </w:p>
          <w:p w14:paraId="7A08B795" w14:textId="4BF9650A" w:rsidR="00013DFB" w:rsidRPr="000F779A" w:rsidRDefault="00013DFB"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(3) </w:t>
            </w:r>
            <w:r w:rsidRPr="000F779A">
              <w:rPr>
                <w:rFonts w:asciiTheme="minorHAnsi" w:eastAsia="Calibri" w:hAnsiTheme="minorHAnsi" w:cstheme="minorHAnsi"/>
                <w:i/>
                <w:iCs/>
                <w:sz w:val="22"/>
                <w:szCs w:val="22"/>
              </w:rPr>
              <w:t>Attribution.</w:t>
            </w:r>
            <w:r w:rsidRPr="000F779A">
              <w:rPr>
                <w:rFonts w:asciiTheme="minorHAnsi" w:eastAsia="Calibri" w:hAnsiTheme="minorHAnsi" w:cstheme="minorHAnsi"/>
                <w:sz w:val="22"/>
                <w:szCs w:val="22"/>
              </w:rPr>
              <w:t xml:space="preserve"> Establish and</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maintain a process to associate enrollees</w:t>
            </w:r>
          </w:p>
          <w:p w14:paraId="38EE92B6" w14:textId="25F9D613" w:rsidR="00013DFB" w:rsidRPr="000F779A" w:rsidRDefault="00013DFB"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with their in-network providers to</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enable data exchange via the Provider</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Access API.</w:t>
            </w:r>
          </w:p>
          <w:p w14:paraId="6460FB04" w14:textId="77777777" w:rsidR="003D3C7C" w:rsidRPr="000F779A" w:rsidRDefault="00013DFB" w:rsidP="00013DFB">
            <w:pPr>
              <w:widowControl w:val="0"/>
              <w:rPr>
                <w:rFonts w:asciiTheme="minorHAnsi" w:eastAsia="Calibri" w:hAnsiTheme="minorHAnsi" w:cstheme="minorHAnsi"/>
                <w:i/>
                <w:iCs/>
                <w:sz w:val="22"/>
                <w:szCs w:val="22"/>
              </w:rPr>
            </w:pPr>
            <w:r w:rsidRPr="000F779A">
              <w:rPr>
                <w:rFonts w:asciiTheme="minorHAnsi" w:eastAsia="Calibri" w:hAnsiTheme="minorHAnsi" w:cstheme="minorHAnsi"/>
                <w:sz w:val="22"/>
                <w:szCs w:val="22"/>
              </w:rPr>
              <w:t xml:space="preserve">(4) </w:t>
            </w:r>
            <w:r w:rsidRPr="000F779A">
              <w:rPr>
                <w:rFonts w:asciiTheme="minorHAnsi" w:eastAsia="Calibri" w:hAnsiTheme="minorHAnsi" w:cstheme="minorHAnsi"/>
                <w:i/>
                <w:iCs/>
                <w:sz w:val="22"/>
                <w:szCs w:val="22"/>
              </w:rPr>
              <w:t>Opt out and patient educational</w:t>
            </w:r>
            <w:r w:rsidR="003D3C7C"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i/>
                <w:iCs/>
                <w:sz w:val="22"/>
                <w:szCs w:val="22"/>
              </w:rPr>
              <w:t xml:space="preserve">resources. </w:t>
            </w:r>
          </w:p>
          <w:p w14:paraId="79F131C9" w14:textId="4A2BF76F" w:rsidR="00013DFB" w:rsidRPr="000F779A" w:rsidRDefault="00013DFB" w:rsidP="003D3C7C">
            <w:pPr>
              <w:widowControl w:val="0"/>
              <w:spacing w:before="40" w:after="40"/>
              <w:ind w:left="216"/>
              <w:rPr>
                <w:rFonts w:asciiTheme="minorHAnsi" w:eastAsia="Calibri" w:hAnsiTheme="minorHAnsi" w:cstheme="minorHAnsi"/>
                <w:i/>
                <w:iCs/>
                <w:sz w:val="22"/>
                <w:szCs w:val="22"/>
              </w:rPr>
            </w:pPr>
            <w:r w:rsidRPr="000F779A">
              <w:rPr>
                <w:rFonts w:asciiTheme="minorHAnsi" w:eastAsia="Calibri" w:hAnsiTheme="minorHAnsi" w:cstheme="minorHAnsi"/>
                <w:sz w:val="22"/>
                <w:szCs w:val="22"/>
              </w:rPr>
              <w:t>(i) Establish and maintain a</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process to allow an enrollee or the</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enrollee’s personal representative to opt</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out of the data exchange described in</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 (a)(2) of this section and to</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change their permission at any time.</w:t>
            </w:r>
          </w:p>
          <w:p w14:paraId="6382E78E" w14:textId="73A7E0C0" w:rsidR="00013DFB" w:rsidRPr="000F779A" w:rsidRDefault="00013DFB" w:rsidP="00013DFB">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That process must be available before</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first date on which the MA</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organization makes enrollee information</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available via the Provider Access API</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at any time while the enrollee is</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enrolled with the MA organization.</w:t>
            </w:r>
          </w:p>
          <w:p w14:paraId="0771E397" w14:textId="71F9B955" w:rsidR="00013DFB" w:rsidRPr="000F779A" w:rsidRDefault="00013DFB" w:rsidP="003D3C7C">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Provide information to enrollees</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 plain language about the benefits of</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API data exchange with their providers,</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their opt out rights, and instructions</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both for opting out of data exchange and</w:t>
            </w:r>
            <w:r w:rsidR="003D3C7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for subsequently opting in, as follows:</w:t>
            </w:r>
          </w:p>
          <w:p w14:paraId="2B2C0C14" w14:textId="2FA6E0C9" w:rsidR="00013DFB" w:rsidRPr="000F779A" w:rsidRDefault="00013DFB" w:rsidP="0095189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Before the first date on which the</w:t>
            </w:r>
            <w:r w:rsidR="0095189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 organization makes enrollee</w:t>
            </w:r>
            <w:r w:rsidR="0095189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information available through the</w:t>
            </w:r>
            <w:r w:rsidR="0095189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Provider Access API.</w:t>
            </w:r>
          </w:p>
          <w:p w14:paraId="48A022E9" w14:textId="3F457FF8" w:rsidR="00013DFB" w:rsidRPr="000F779A" w:rsidRDefault="00013DFB" w:rsidP="0095189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No later than 1 week after the</w:t>
            </w:r>
            <w:r w:rsidR="0095189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coverage start date or no later than 1</w:t>
            </w:r>
            <w:r w:rsidR="0095189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week after receiving acceptance of</w:t>
            </w:r>
            <w:r w:rsidR="0095189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enrollment from CMS, whichever is</w:t>
            </w:r>
            <w:r w:rsidR="0095189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later.</w:t>
            </w:r>
          </w:p>
          <w:p w14:paraId="00B9FF76" w14:textId="77777777" w:rsidR="00743B34" w:rsidRPr="000F779A" w:rsidRDefault="00013DFB" w:rsidP="0095189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At least annually.</w:t>
            </w:r>
          </w:p>
          <w:p w14:paraId="128B4671" w14:textId="77777777" w:rsidR="00F63DD1" w:rsidRPr="000F779A" w:rsidRDefault="00F63DD1" w:rsidP="00F63DD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(D) In an easily accessible location on</w:t>
            </w:r>
          </w:p>
          <w:p w14:paraId="041A1D1E" w14:textId="77777777" w:rsidR="00F63DD1" w:rsidRPr="000F779A" w:rsidRDefault="00F63DD1" w:rsidP="00F63DD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its public website.</w:t>
            </w:r>
          </w:p>
          <w:p w14:paraId="37130EF6" w14:textId="69B6225D" w:rsidR="00F63DD1" w:rsidRPr="000F779A" w:rsidRDefault="00F63DD1" w:rsidP="00404A1A">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(5) </w:t>
            </w:r>
            <w:r w:rsidRPr="000F779A">
              <w:rPr>
                <w:rFonts w:asciiTheme="minorHAnsi" w:eastAsia="Calibri" w:hAnsiTheme="minorHAnsi" w:cstheme="minorHAnsi"/>
                <w:i/>
                <w:iCs/>
                <w:sz w:val="22"/>
                <w:szCs w:val="22"/>
              </w:rPr>
              <w:t xml:space="preserve">Provider resources. </w:t>
            </w:r>
            <w:r w:rsidRPr="000F779A">
              <w:rPr>
                <w:rFonts w:asciiTheme="minorHAnsi" w:eastAsia="Calibri" w:hAnsiTheme="minorHAnsi" w:cstheme="minorHAnsi"/>
                <w:sz w:val="22"/>
                <w:szCs w:val="22"/>
              </w:rPr>
              <w:t>Provide on its</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website and through other appropriate</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provider communications, information</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 plain language explaining the process</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for requesting enrollee data using the</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Provider Access API required in</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 (a)(1) of this section. The</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resources must include information</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about how to use the MA organization’s</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attribution process to associate enrollees</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with their providers.</w:t>
            </w:r>
          </w:p>
          <w:p w14:paraId="7FBCCCEF" w14:textId="25C35616" w:rsidR="00F63DD1" w:rsidRPr="000F779A" w:rsidRDefault="00F63DD1" w:rsidP="00404A1A">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 </w:t>
            </w:r>
            <w:r w:rsidRPr="000F779A">
              <w:rPr>
                <w:rFonts w:asciiTheme="minorHAnsi" w:eastAsia="Calibri" w:hAnsiTheme="minorHAnsi" w:cstheme="minorHAnsi"/>
                <w:i/>
                <w:iCs/>
                <w:sz w:val="22"/>
                <w:szCs w:val="22"/>
              </w:rPr>
              <w:t>Application programming</w:t>
            </w:r>
            <w:r w:rsidR="00404A1A"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i/>
                <w:iCs/>
                <w:sz w:val="22"/>
                <w:szCs w:val="22"/>
              </w:rPr>
              <w:t>interface to support data exchange</w:t>
            </w:r>
            <w:r w:rsidR="00404A1A"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i/>
                <w:iCs/>
                <w:sz w:val="22"/>
                <w:szCs w:val="22"/>
              </w:rPr>
              <w:t>between payers—Payer-to-Payer API.</w:t>
            </w:r>
            <w:r w:rsidR="00404A1A"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sz w:val="22"/>
                <w:szCs w:val="22"/>
              </w:rPr>
              <w:t>Beginning January 1, 2027, an MA</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organization must do the following:</w:t>
            </w:r>
          </w:p>
          <w:p w14:paraId="1E8DC15C" w14:textId="6CDC88F4" w:rsidR="00F63DD1" w:rsidRPr="000F779A" w:rsidRDefault="00F63DD1" w:rsidP="00404A1A">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(1) </w:t>
            </w:r>
            <w:r w:rsidRPr="000F779A">
              <w:rPr>
                <w:rFonts w:asciiTheme="minorHAnsi" w:eastAsia="Calibri" w:hAnsiTheme="minorHAnsi" w:cstheme="minorHAnsi"/>
                <w:i/>
                <w:iCs/>
                <w:sz w:val="22"/>
                <w:szCs w:val="22"/>
              </w:rPr>
              <w:t xml:space="preserve">API requirements. </w:t>
            </w:r>
            <w:r w:rsidRPr="000F779A">
              <w:rPr>
                <w:rFonts w:asciiTheme="minorHAnsi" w:eastAsia="Calibri" w:hAnsiTheme="minorHAnsi" w:cstheme="minorHAnsi"/>
                <w:sz w:val="22"/>
                <w:szCs w:val="22"/>
              </w:rPr>
              <w:t>Implement and</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maintain an API conformant with all of</w:t>
            </w:r>
          </w:p>
          <w:p w14:paraId="3F3FB9E4" w14:textId="77777777" w:rsidR="00F63DD1" w:rsidRPr="000F779A" w:rsidRDefault="00F63DD1" w:rsidP="00F63DD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the following:</w:t>
            </w:r>
          </w:p>
          <w:p w14:paraId="336FCFC6" w14:textId="436D212C" w:rsidR="00F63DD1" w:rsidRPr="000F779A" w:rsidRDefault="00F63DD1" w:rsidP="00404A1A">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(i) Section 422.119(c)(2) through (4),</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 and (e).</w:t>
            </w:r>
          </w:p>
          <w:p w14:paraId="2833B809" w14:textId="7C013DB6" w:rsidR="00F63DD1" w:rsidRPr="000F779A" w:rsidRDefault="00F63DD1" w:rsidP="00404A1A">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standards in 45 CFR</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170.215(a)(1), (b)(1)(i), and (d)(1).</w:t>
            </w:r>
          </w:p>
          <w:p w14:paraId="35AEFCFE" w14:textId="376D3726" w:rsidR="00F63DD1" w:rsidRPr="000F779A" w:rsidRDefault="00F63DD1" w:rsidP="00F94C90">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(2) </w:t>
            </w:r>
            <w:r w:rsidRPr="000F779A">
              <w:rPr>
                <w:rFonts w:asciiTheme="minorHAnsi" w:eastAsia="Calibri" w:hAnsiTheme="minorHAnsi" w:cstheme="minorHAnsi"/>
                <w:i/>
                <w:iCs/>
                <w:sz w:val="22"/>
                <w:szCs w:val="22"/>
              </w:rPr>
              <w:t xml:space="preserve">Opt in. </w:t>
            </w:r>
            <w:r w:rsidRPr="000F779A">
              <w:rPr>
                <w:rFonts w:asciiTheme="minorHAnsi" w:eastAsia="Calibri" w:hAnsiTheme="minorHAnsi" w:cstheme="minorHAnsi"/>
                <w:sz w:val="22"/>
                <w:szCs w:val="22"/>
              </w:rPr>
              <w:t>Establish and maintain a</w:t>
            </w:r>
            <w:r w:rsidR="00404A1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process to allow enrollees or their</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personal representatives to opt into the</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 organization’s payer to payer data</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exchange with the enrollee’s previous</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payer(s), described in paragraphs (b)(4)</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(5) of this section, and with</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concurrent payer(s), described in</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 (b)(6) of this section, and to</w:t>
            </w:r>
            <w:r w:rsidR="00F94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change their permission at any time.</w:t>
            </w:r>
          </w:p>
          <w:p w14:paraId="6326E5F3" w14:textId="708A261C" w:rsidR="00F63DD1" w:rsidRPr="000F779A" w:rsidRDefault="00F63DD1" w:rsidP="004F2093">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The opt in process must be offered</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as follows:</w:t>
            </w:r>
          </w:p>
          <w:p w14:paraId="3BA92388" w14:textId="2F6283EB" w:rsidR="00F63DD1" w:rsidRPr="000F779A" w:rsidRDefault="00F63DD1" w:rsidP="00F63DD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To current enrollees, no later than</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compliance date.</w:t>
            </w:r>
          </w:p>
          <w:p w14:paraId="12737479" w14:textId="67A29C7A" w:rsidR="00F63DD1" w:rsidRPr="000F779A" w:rsidRDefault="00F63DD1" w:rsidP="00F63DD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To new enrollees, no later than 1</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week after the coverage start date or no</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later than 1 week after receiving</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acceptance of enrollment from CMS,</w:t>
            </w:r>
          </w:p>
          <w:p w14:paraId="72480F29" w14:textId="77777777" w:rsidR="00F63DD1" w:rsidRPr="000F779A" w:rsidRDefault="00F63DD1" w:rsidP="00F63DD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whichever is later.</w:t>
            </w:r>
          </w:p>
          <w:p w14:paraId="41752FA2" w14:textId="2B363755" w:rsidR="00F63DD1" w:rsidRPr="000F779A" w:rsidRDefault="00F63DD1" w:rsidP="004F2093">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If an enrollee does not respond or</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additional information is necessary, the</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 organization must make reasonable</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efforts to engage with the enrollee to</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collect this information.</w:t>
            </w:r>
          </w:p>
          <w:p w14:paraId="2EA64FEB" w14:textId="398C1BDF" w:rsidR="00F63DD1" w:rsidRPr="000F779A" w:rsidRDefault="00F63DD1" w:rsidP="004F2093">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(3) Identify</w:t>
            </w:r>
            <w:r w:rsidRPr="000F779A">
              <w:rPr>
                <w:rFonts w:asciiTheme="minorHAnsi" w:eastAsia="Calibri" w:hAnsiTheme="minorHAnsi" w:cstheme="minorHAnsi"/>
                <w:i/>
                <w:iCs/>
                <w:sz w:val="22"/>
                <w:szCs w:val="22"/>
              </w:rPr>
              <w:t xml:space="preserve"> previous and concurrent</w:t>
            </w:r>
            <w:r w:rsidR="004F2093"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i/>
                <w:iCs/>
                <w:sz w:val="22"/>
                <w:szCs w:val="22"/>
              </w:rPr>
              <w:t xml:space="preserve">payers. </w:t>
            </w:r>
            <w:r w:rsidRPr="000F779A">
              <w:rPr>
                <w:rFonts w:asciiTheme="minorHAnsi" w:eastAsia="Calibri" w:hAnsiTheme="minorHAnsi" w:cstheme="minorHAnsi"/>
                <w:sz w:val="22"/>
                <w:szCs w:val="22"/>
              </w:rPr>
              <w:t>Establish and maintain a process</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to identify a new enrollee’s previous</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concurrent payer(s) to facilitate the</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Payer-to-Payer API data exchange. The</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information request process must start</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as follows:</w:t>
            </w:r>
          </w:p>
          <w:p w14:paraId="77E6DE10" w14:textId="045F57B3" w:rsidR="00F63DD1" w:rsidRPr="000F779A" w:rsidRDefault="00F63DD1" w:rsidP="004F2093">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For current enrollees, no later than</w:t>
            </w:r>
            <w:r w:rsidR="004F209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compliance date.</w:t>
            </w:r>
          </w:p>
          <w:p w14:paraId="0FAD2A8F" w14:textId="16EA47CB" w:rsidR="00F63DD1" w:rsidRPr="000F779A" w:rsidRDefault="00F63DD1" w:rsidP="00E0157F">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For new enrollees, no later than 1</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week after the coverage start date or no</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later than 1 week after receiving</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acceptance of enrollment from CMS,</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whichever is later.</w:t>
            </w:r>
          </w:p>
          <w:p w14:paraId="06EBAC81" w14:textId="77777777" w:rsidR="00F63DD1" w:rsidRPr="000F779A" w:rsidRDefault="00F63DD1" w:rsidP="00E0157F">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(iii) If an enrollee does not respond or</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additional information is necessary, the</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 organization must make reasonable</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efforts to engage with the enrollee to</w:t>
            </w:r>
            <w:r w:rsidR="00E0157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collect this information.</w:t>
            </w:r>
          </w:p>
          <w:p w14:paraId="371E40CC" w14:textId="4AE50AAD" w:rsidR="00B6233B" w:rsidRPr="000F779A" w:rsidRDefault="00B6233B" w:rsidP="00B6233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(4) </w:t>
            </w:r>
            <w:r w:rsidRPr="000F779A">
              <w:rPr>
                <w:rFonts w:asciiTheme="minorHAnsi" w:eastAsia="Calibri" w:hAnsiTheme="minorHAnsi" w:cstheme="minorHAnsi"/>
                <w:i/>
                <w:iCs/>
                <w:sz w:val="22"/>
                <w:szCs w:val="22"/>
              </w:rPr>
              <w:t xml:space="preserve">Exchange request requirements. </w:t>
            </w:r>
            <w:r w:rsidRPr="000F779A">
              <w:rPr>
                <w:rFonts w:asciiTheme="minorHAnsi" w:eastAsia="Calibri" w:hAnsiTheme="minorHAnsi" w:cstheme="minorHAnsi"/>
                <w:sz w:val="22"/>
                <w:szCs w:val="22"/>
              </w:rPr>
              <w:t>Exchange enrollee data with other</w:t>
            </w:r>
            <w:r w:rsidR="00DC4EEE" w:rsidRPr="000F779A">
              <w:rPr>
                <w:rFonts w:asciiTheme="minorHAnsi" w:eastAsia="Calibri" w:hAnsiTheme="minorHAnsi" w:cstheme="minorHAnsi"/>
                <w:sz w:val="22"/>
                <w:szCs w:val="22"/>
              </w:rPr>
              <w:t xml:space="preserve"> </w:t>
            </w:r>
          </w:p>
          <w:p w14:paraId="480D189F" w14:textId="4F26BFCB" w:rsidR="00B6233B" w:rsidRPr="000F779A" w:rsidRDefault="00B6233B" w:rsidP="00B6233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payers, consistent with the following</w:t>
            </w:r>
            <w:r w:rsidR="00DC4EE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requirements:</w:t>
            </w:r>
          </w:p>
          <w:p w14:paraId="56B5C5C1" w14:textId="12F77799" w:rsidR="00B6233B" w:rsidRPr="000F779A" w:rsidRDefault="00B6233B" w:rsidP="00817913">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The MA organization must request</w:t>
            </w:r>
            <w:r w:rsidR="00DC4EE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data listed in paragraph (b)(4)(ii) of</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this section through the enrollee’s</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previous payers’ API, if all the following</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conditions are met:</w:t>
            </w:r>
          </w:p>
          <w:p w14:paraId="46B7F2E3" w14:textId="7A9CB17A" w:rsidR="00B6233B" w:rsidRPr="000F779A" w:rsidRDefault="00B6233B" w:rsidP="00817913">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The enrollee has opted in, as</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described in paragraph (b)(2) of this</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section.</w:t>
            </w:r>
          </w:p>
          <w:p w14:paraId="5069BE2F" w14:textId="0C6623B9" w:rsidR="00B6233B" w:rsidRPr="000F779A" w:rsidRDefault="00B6233B" w:rsidP="00817913">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The exchange is not prohibited by</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other applicable law.</w:t>
            </w:r>
          </w:p>
          <w:p w14:paraId="6DC8FAD0" w14:textId="4AD01C5F" w:rsidR="00B6233B" w:rsidRPr="000F779A" w:rsidRDefault="00B6233B" w:rsidP="00817913">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data to be requested are all of</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following with a date of service</w:t>
            </w:r>
            <w:r w:rsidR="0081791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within 5 years before the request:</w:t>
            </w:r>
          </w:p>
          <w:p w14:paraId="1EABDFEB" w14:textId="5FA06CC8" w:rsidR="00B6233B" w:rsidRPr="000F779A" w:rsidRDefault="00B6233B" w:rsidP="00AA1BC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Data specified in §422.119(b)</w:t>
            </w:r>
            <w:r w:rsidR="00AA1B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excluding the following:</w:t>
            </w:r>
          </w:p>
          <w:p w14:paraId="76A658CC" w14:textId="06076426" w:rsidR="00B6233B" w:rsidRPr="000F779A" w:rsidRDefault="00B6233B" w:rsidP="00AA1BC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Provider remittances and enrollee</w:t>
            </w:r>
            <w:r w:rsidR="00AA1B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cost-sharing information.</w:t>
            </w:r>
          </w:p>
          <w:p w14:paraId="66A97900" w14:textId="77777777" w:rsidR="00B6233B" w:rsidRPr="000F779A" w:rsidRDefault="00B6233B" w:rsidP="00AA1BC1">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Denied prior authorizations.</w:t>
            </w:r>
          </w:p>
          <w:p w14:paraId="119F1054" w14:textId="1AE806E2" w:rsidR="00B6233B" w:rsidRPr="000F779A" w:rsidRDefault="00B6233B" w:rsidP="009D0020">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Unstructured administrative and</w:t>
            </w:r>
            <w:r w:rsidR="00AA1B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clinical documentation submitted by a</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provider related to prior authorizations.</w:t>
            </w:r>
          </w:p>
          <w:p w14:paraId="555AE583" w14:textId="5FE24627" w:rsidR="00B6233B" w:rsidRPr="000F779A" w:rsidRDefault="00B6233B" w:rsidP="009D0020">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(iii) The MA organization must</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include an attestation with this request</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affirming that the enrollee is enrolled</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with the MA organization and has </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opted</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into the data exchange.</w:t>
            </w:r>
          </w:p>
          <w:p w14:paraId="44E80F1F" w14:textId="6E535CB3" w:rsidR="00B6233B" w:rsidRPr="000F779A" w:rsidRDefault="00B6233B" w:rsidP="009D0020">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(iv) The MA organization must</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complete this request as follows:</w:t>
            </w:r>
          </w:p>
          <w:p w14:paraId="4AAAF2A9" w14:textId="70D50BEE" w:rsidR="00B6233B" w:rsidRPr="000F779A" w:rsidRDefault="00B6233B" w:rsidP="009D0020">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No later than 1 week after the</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payer has sufficient identifying</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information about previous payers and</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enrollee has opted in.</w:t>
            </w:r>
          </w:p>
          <w:p w14:paraId="06A0BDAB" w14:textId="4EB3B01F" w:rsidR="00B6233B" w:rsidRPr="000F779A" w:rsidRDefault="00B6233B" w:rsidP="009D0020">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At an enrollee’s request, within 1</w:t>
            </w:r>
            <w:r w:rsidR="009D002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week of the request.</w:t>
            </w:r>
            <w:r w:rsidR="009D0020" w:rsidRPr="000F779A">
              <w:rPr>
                <w:rFonts w:asciiTheme="minorHAnsi" w:eastAsia="Calibri" w:hAnsiTheme="minorHAnsi" w:cstheme="minorHAnsi"/>
                <w:sz w:val="22"/>
                <w:szCs w:val="22"/>
              </w:rPr>
              <w:t xml:space="preserve"> </w:t>
            </w:r>
          </w:p>
          <w:p w14:paraId="70C978B6" w14:textId="64132152" w:rsidR="00B6233B" w:rsidRPr="000F779A" w:rsidRDefault="00B6233B" w:rsidP="00280414">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(v) The MA organization must receive,</w:t>
            </w:r>
            <w:r w:rsidR="00280414"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through the API required in paragraph</w:t>
            </w:r>
            <w:r w:rsidR="00280414"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(b)(1) of this section, and incorporate</w:t>
            </w:r>
            <w:r w:rsidR="00280414"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into its records about the enrollee, any</w:t>
            </w:r>
            <w:r w:rsidR="00280414"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data made available by other payers in</w:t>
            </w:r>
            <w:r w:rsidR="00280414"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response to the request.</w:t>
            </w:r>
          </w:p>
          <w:p w14:paraId="6921E993" w14:textId="4C35A4E3" w:rsidR="00B6233B" w:rsidRPr="000F779A" w:rsidRDefault="00B6233B" w:rsidP="00B6233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(5) </w:t>
            </w:r>
            <w:r w:rsidRPr="000F779A">
              <w:rPr>
                <w:rFonts w:asciiTheme="minorHAnsi" w:eastAsia="Calibri" w:hAnsiTheme="minorHAnsi" w:cstheme="minorHAnsi"/>
                <w:i/>
                <w:iCs/>
                <w:sz w:val="22"/>
                <w:szCs w:val="22"/>
              </w:rPr>
              <w:t>Exchange response requirements.</w:t>
            </w:r>
            <w:r w:rsidR="00E43717"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sz w:val="22"/>
                <w:szCs w:val="22"/>
              </w:rPr>
              <w:t>Make available the data specified in</w:t>
            </w:r>
            <w:r w:rsidR="00E4371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 (b)(4)(ii) of this section that</w:t>
            </w:r>
            <w:r w:rsidR="00E4371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are maintained by the MA organization</w:t>
            </w:r>
            <w:r w:rsidR="00E4371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to other payers via the API required in</w:t>
            </w:r>
            <w:r w:rsidR="00E4371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 (b)(1) of this section within 1</w:t>
            </w:r>
            <w:r w:rsidR="00E4371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business day of receiving a request, if all</w:t>
            </w:r>
            <w:r w:rsidR="00E4371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following conditions are met:</w:t>
            </w:r>
          </w:p>
          <w:p w14:paraId="47AC0B68" w14:textId="2DD770AB" w:rsidR="00B6233B" w:rsidRPr="000F779A" w:rsidRDefault="00B6233B" w:rsidP="001427CA">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The payer that requests access has</w:t>
            </w:r>
            <w:r w:rsidR="001427C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its</w:t>
            </w:r>
            <w:r w:rsidRPr="000F779A">
              <w:rPr>
                <w:rFonts w:asciiTheme="minorHAnsi" w:eastAsia="Calibri" w:hAnsiTheme="minorHAnsi" w:cstheme="minorHAnsi"/>
                <w:b/>
                <w:bCs/>
                <w:sz w:val="22"/>
                <w:szCs w:val="22"/>
              </w:rPr>
              <w:t xml:space="preserve"> </w:t>
            </w:r>
            <w:r w:rsidRPr="000F779A">
              <w:rPr>
                <w:rFonts w:asciiTheme="minorHAnsi" w:eastAsia="Calibri" w:hAnsiTheme="minorHAnsi" w:cstheme="minorHAnsi"/>
                <w:sz w:val="22"/>
                <w:szCs w:val="22"/>
              </w:rPr>
              <w:t>identity authenticated and includes</w:t>
            </w:r>
            <w:r w:rsidR="001427C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 attestation with the request that the</w:t>
            </w:r>
            <w:r w:rsidR="001427C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patient is enrolled with the payer and</w:t>
            </w:r>
            <w:r w:rsidR="001427C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has opted into the data exchange.</w:t>
            </w:r>
          </w:p>
          <w:p w14:paraId="299CF8AA" w14:textId="172517EC" w:rsidR="00B6233B" w:rsidRPr="000F779A" w:rsidRDefault="00B6233B" w:rsidP="00A13697">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Disclosure of the data is not</w:t>
            </w:r>
            <w:r w:rsidR="00A1369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prohibited by other applicable law.</w:t>
            </w:r>
          </w:p>
          <w:p w14:paraId="2FE2B751" w14:textId="69960CB6" w:rsidR="00B6233B" w:rsidRPr="000F779A" w:rsidRDefault="00B6233B" w:rsidP="00B6233B">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(6) </w:t>
            </w:r>
            <w:r w:rsidRPr="000F779A">
              <w:rPr>
                <w:rFonts w:asciiTheme="minorHAnsi" w:eastAsia="Calibri" w:hAnsiTheme="minorHAnsi" w:cstheme="minorHAnsi"/>
                <w:i/>
                <w:iCs/>
                <w:sz w:val="22"/>
                <w:szCs w:val="22"/>
              </w:rPr>
              <w:t>Concurrent coverage data</w:t>
            </w:r>
            <w:r w:rsidR="00A13697"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i/>
                <w:iCs/>
                <w:sz w:val="22"/>
                <w:szCs w:val="22"/>
              </w:rPr>
              <w:t xml:space="preserve">exchange requirements. </w:t>
            </w:r>
            <w:r w:rsidRPr="000F779A">
              <w:rPr>
                <w:rFonts w:asciiTheme="minorHAnsi" w:eastAsia="Calibri" w:hAnsiTheme="minorHAnsi" w:cstheme="minorHAnsi"/>
                <w:sz w:val="22"/>
                <w:szCs w:val="22"/>
              </w:rPr>
              <w:t>When an</w:t>
            </w:r>
            <w:r w:rsidR="00A1369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enrollee has provided sufficient</w:t>
            </w:r>
            <w:r w:rsidR="00A1369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identifying information about</w:t>
            </w:r>
            <w:r w:rsidR="00A1369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concurrent payers and has opted in as</w:t>
            </w:r>
            <w:r w:rsidR="00D4789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described in paragraph (b)(2) of this</w:t>
            </w:r>
            <w:r w:rsidR="00D4789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section, an MA organization must do the</w:t>
            </w:r>
            <w:r w:rsidR="00D4789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following, through the API required in</w:t>
            </w:r>
            <w:r w:rsidR="00D47892"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paragraph (b)(1) of this section:</w:t>
            </w:r>
          </w:p>
          <w:p w14:paraId="7752F43B" w14:textId="67B651BE" w:rsidR="00D16F6D" w:rsidRPr="000F779A" w:rsidRDefault="00B6233B" w:rsidP="00D16F6D">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Request the enrollee’s data from all</w:t>
            </w:r>
            <w:r w:rsidR="00E251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known concurrent payers as described</w:t>
            </w:r>
            <w:r w:rsidR="00E25190" w:rsidRPr="000F779A">
              <w:rPr>
                <w:rFonts w:asciiTheme="minorHAnsi" w:eastAsia="Calibri" w:hAnsiTheme="minorHAnsi" w:cstheme="minorHAnsi"/>
                <w:sz w:val="22"/>
                <w:szCs w:val="22"/>
              </w:rPr>
              <w:t xml:space="preserve"> </w:t>
            </w:r>
            <w:r w:rsidR="00D16F6D" w:rsidRPr="000F779A">
              <w:rPr>
                <w:rFonts w:asciiTheme="minorHAnsi" w:eastAsia="Calibri" w:hAnsiTheme="minorHAnsi" w:cstheme="minorHAnsi"/>
                <w:sz w:val="22"/>
                <w:szCs w:val="22"/>
              </w:rPr>
              <w:t>in paragraph (b)(4) of this section, and</w:t>
            </w:r>
            <w:r w:rsidR="00F17632" w:rsidRPr="000F779A">
              <w:rPr>
                <w:rFonts w:asciiTheme="minorHAnsi" w:eastAsia="Calibri" w:hAnsiTheme="minorHAnsi" w:cstheme="minorHAnsi"/>
                <w:sz w:val="22"/>
                <w:szCs w:val="22"/>
              </w:rPr>
              <w:t xml:space="preserve"> </w:t>
            </w:r>
            <w:r w:rsidR="00D16F6D" w:rsidRPr="000F779A">
              <w:rPr>
                <w:rFonts w:asciiTheme="minorHAnsi" w:eastAsia="Calibri" w:hAnsiTheme="minorHAnsi" w:cstheme="minorHAnsi"/>
                <w:sz w:val="22"/>
                <w:szCs w:val="22"/>
              </w:rPr>
              <w:t>at least quarterly thereafter while the</w:t>
            </w:r>
            <w:r w:rsidR="001D6CFF" w:rsidRPr="000F779A">
              <w:rPr>
                <w:rFonts w:asciiTheme="minorHAnsi" w:eastAsia="Calibri" w:hAnsiTheme="minorHAnsi" w:cstheme="minorHAnsi"/>
                <w:sz w:val="22"/>
                <w:szCs w:val="22"/>
              </w:rPr>
              <w:t xml:space="preserve"> </w:t>
            </w:r>
            <w:r w:rsidR="00D16F6D" w:rsidRPr="000F779A">
              <w:rPr>
                <w:rFonts w:asciiTheme="minorHAnsi" w:eastAsia="Calibri" w:hAnsiTheme="minorHAnsi" w:cstheme="minorHAnsi"/>
                <w:sz w:val="22"/>
                <w:szCs w:val="22"/>
              </w:rPr>
              <w:t>enrollee is enrolled with both payers.</w:t>
            </w:r>
          </w:p>
          <w:p w14:paraId="0A786D3E" w14:textId="3AFA1198" w:rsidR="00D16F6D" w:rsidRPr="000F779A" w:rsidRDefault="00D16F6D" w:rsidP="00D16F6D">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Respond as described in paragraph</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(b)(5) of this section within 1 business</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day of a request from any concurrent</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payers. If agreed upon with the</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requesting payer, the MA organization</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may exclude any data that were</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previously sent to or originally received</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from the concurrent payer.</w:t>
            </w:r>
          </w:p>
          <w:p w14:paraId="46958923" w14:textId="3B4DB9A0" w:rsidR="00D16F6D" w:rsidRPr="000F779A" w:rsidRDefault="00D16F6D" w:rsidP="001D6CFF">
            <w:pPr>
              <w:widowControl w:val="0"/>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(7) </w:t>
            </w:r>
            <w:r w:rsidRPr="000F779A">
              <w:rPr>
                <w:rFonts w:asciiTheme="minorHAnsi" w:eastAsia="Calibri" w:hAnsiTheme="minorHAnsi" w:cstheme="minorHAnsi"/>
                <w:i/>
                <w:iCs/>
                <w:sz w:val="22"/>
                <w:szCs w:val="22"/>
              </w:rPr>
              <w:t>Patient educational resources.</w:t>
            </w:r>
            <w:r w:rsidR="001D6CFF"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sz w:val="22"/>
                <w:szCs w:val="22"/>
              </w:rPr>
              <w:t>Provide information to enrollees in</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plain language, explaining at a</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minimum: the benefits of Payer-to-Payer</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API data exchange, their ability to opt</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 or withdraw that permission, and</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instructions for doing so. The MA</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organization must provide the following</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resources:</w:t>
            </w:r>
          </w:p>
          <w:p w14:paraId="26AA7B17" w14:textId="1EE7C682" w:rsidR="00D16F6D" w:rsidRPr="000F779A" w:rsidRDefault="00D16F6D" w:rsidP="00D16F6D">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When requesting an enrollee’s</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permission for Payer-to-Payer API data</w:t>
            </w:r>
          </w:p>
          <w:p w14:paraId="56BE182F" w14:textId="78AE665C" w:rsidR="00D16F6D" w:rsidRPr="000F779A" w:rsidRDefault="00D16F6D" w:rsidP="00D16F6D">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exchange, as described in paragraph</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(b)(2) of this section.</w:t>
            </w:r>
          </w:p>
          <w:p w14:paraId="781A6FF9" w14:textId="58B05A3B" w:rsidR="00D16F6D" w:rsidRPr="000F779A" w:rsidRDefault="00D16F6D" w:rsidP="00D16F6D">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At least annually, in appropriate</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mechanisms through which it ordinarily</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lastRenderedPageBreak/>
              <w:t>communicates with current enrollees.</w:t>
            </w:r>
          </w:p>
          <w:p w14:paraId="1EFED39C" w14:textId="719E982B" w:rsidR="00E0157F" w:rsidRPr="000F779A" w:rsidRDefault="00D16F6D" w:rsidP="001D6CFF">
            <w:pPr>
              <w:widowControl w:val="0"/>
              <w:spacing w:before="40" w:after="40"/>
              <w:ind w:left="216"/>
              <w:rPr>
                <w:rFonts w:asciiTheme="minorHAnsi" w:eastAsia="Calibri" w:hAnsiTheme="minorHAnsi" w:cstheme="minorHAnsi"/>
                <w:b/>
                <w:bCs/>
                <w:sz w:val="22"/>
                <w:szCs w:val="22"/>
              </w:rPr>
            </w:pPr>
            <w:r w:rsidRPr="000F779A">
              <w:rPr>
                <w:rFonts w:asciiTheme="minorHAnsi" w:eastAsia="Calibri" w:hAnsiTheme="minorHAnsi" w:cstheme="minorHAnsi"/>
                <w:sz w:val="22"/>
                <w:szCs w:val="22"/>
              </w:rPr>
              <w:t>(iii) In an easily accessible location on</w:t>
            </w:r>
            <w:r w:rsidR="001D6C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its public website.</w:t>
            </w:r>
          </w:p>
        </w:tc>
        <w:tc>
          <w:tcPr>
            <w:tcW w:w="4140" w:type="dxa"/>
            <w:shd w:val="clear" w:color="auto" w:fill="auto"/>
          </w:tcPr>
          <w:p w14:paraId="30AAC8C2" w14:textId="77777777" w:rsidR="00A102F4" w:rsidRPr="000F779A" w:rsidRDefault="00A102F4" w:rsidP="00A102F4">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Finalizing the rescission of the payer to payer data exchange policy previously finalized in the CMS Interoperability and Patient Access rule (85 FR 25568) at 42 CFR 422.119(f)(1) and 438.62(b)(1)(vi) and (vii) and 45 CFR 156.221(f)(1).</w:t>
            </w:r>
          </w:p>
          <w:p w14:paraId="22E496FA" w14:textId="77777777" w:rsidR="00A102F4" w:rsidRPr="000F779A" w:rsidRDefault="00A102F4" w:rsidP="00A102F4">
            <w:pPr>
              <w:widowControl w:val="0"/>
              <w:rPr>
                <w:rFonts w:asciiTheme="minorHAnsi" w:eastAsia="Calibri" w:hAnsiTheme="minorHAnsi" w:cstheme="minorHAnsi"/>
                <w:sz w:val="22"/>
                <w:szCs w:val="22"/>
              </w:rPr>
            </w:pPr>
          </w:p>
          <w:p w14:paraId="13074EA2" w14:textId="77777777" w:rsidR="00743B34" w:rsidRPr="000F779A" w:rsidRDefault="00A102F4" w:rsidP="00A102F4">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Finalizing the new standards beginning in 2027 (by January 1, 2027, for MA organizations and state Medicaid and CHIP FFS programs; by the rating period beginning on or after January 1, 2027, for Medicaid managed care plans and CHIP managed care entities; impacted payers must implement and maintain a Payer-to- Payer API that is conformant with certain technical standards, documentation requirements, and denial or discontinuation policies. Specifically, those technical standards are HL7 FHIR R4 at 45 CFR 170.215(a)(1), US Core IG at 45 CFR 170.215(b)(1)(i), and Bulk Data Access IG at 45 CFR 170.215(d)(1).</w:t>
            </w:r>
          </w:p>
          <w:p w14:paraId="089224AC" w14:textId="77777777" w:rsidR="000D4A33" w:rsidRPr="000F779A" w:rsidRDefault="000D4A33" w:rsidP="00A102F4">
            <w:pPr>
              <w:widowControl w:val="0"/>
              <w:rPr>
                <w:rFonts w:asciiTheme="minorHAnsi" w:eastAsia="Calibri" w:hAnsiTheme="minorHAnsi" w:cstheme="minorHAnsi"/>
                <w:sz w:val="22"/>
                <w:szCs w:val="22"/>
              </w:rPr>
            </w:pPr>
          </w:p>
          <w:p w14:paraId="143EBAD5" w14:textId="4F7135D3" w:rsidR="009E04A4" w:rsidRPr="000F779A" w:rsidRDefault="00CC00E4" w:rsidP="009E04A4">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Finalizing our proposal that </w:t>
            </w:r>
            <w:r w:rsidR="009E04A4" w:rsidRPr="000F779A">
              <w:rPr>
                <w:rFonts w:asciiTheme="minorHAnsi" w:eastAsia="Calibri" w:hAnsiTheme="minorHAnsi" w:cstheme="minorHAnsi"/>
                <w:sz w:val="22"/>
                <w:szCs w:val="22"/>
              </w:rPr>
              <w:t>if a Medicaid or CHIP agency is</w:t>
            </w:r>
            <w:r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exchanging information per our Payer</w:t>
            </w:r>
            <w:r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to-Payer API proposals with a managed</w:t>
            </w:r>
            <w:r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 xml:space="preserve">care plan or managed care entity </w:t>
            </w:r>
            <w:r w:rsidR="009E04A4" w:rsidRPr="000F779A">
              <w:rPr>
                <w:rFonts w:asciiTheme="minorHAnsi" w:eastAsia="Calibri" w:hAnsiTheme="minorHAnsi" w:cstheme="minorHAnsi"/>
                <w:sz w:val="22"/>
                <w:szCs w:val="22"/>
              </w:rPr>
              <w:lastRenderedPageBreak/>
              <w:t>with</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which they have a contract, the</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requirement to obtain patient opt in</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would not apply. We consider any plan</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and entity that has a contract with the</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state Medicaid or CHIP agency to</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deliver Medicaid program health care</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services to beneficiaries under the state</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plan, including state Medicaid agency</w:t>
            </w:r>
            <w:r w:rsidR="009B44ED"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 xml:space="preserve">contracts with </w:t>
            </w:r>
            <w:r w:rsidR="009E04A4" w:rsidRPr="000F779A">
              <w:rPr>
                <w:rFonts w:asciiTheme="minorHAnsi" w:eastAsia="Calibri" w:hAnsiTheme="minorHAnsi" w:cstheme="minorHAnsi"/>
                <w:b/>
                <w:bCs/>
                <w:sz w:val="22"/>
                <w:szCs w:val="22"/>
              </w:rPr>
              <w:t>D–</w:t>
            </w:r>
            <w:r w:rsidR="00F231BF" w:rsidRPr="000F779A">
              <w:rPr>
                <w:rFonts w:asciiTheme="minorHAnsi" w:eastAsia="Calibri" w:hAnsiTheme="minorHAnsi" w:cstheme="minorHAnsi"/>
                <w:b/>
                <w:bCs/>
                <w:sz w:val="22"/>
                <w:szCs w:val="22"/>
              </w:rPr>
              <w:t xml:space="preserve"> S</w:t>
            </w:r>
            <w:r w:rsidR="009E04A4" w:rsidRPr="000F779A">
              <w:rPr>
                <w:rFonts w:asciiTheme="minorHAnsi" w:eastAsia="Calibri" w:hAnsiTheme="minorHAnsi" w:cstheme="minorHAnsi"/>
                <w:b/>
                <w:bCs/>
                <w:sz w:val="22"/>
                <w:szCs w:val="22"/>
              </w:rPr>
              <w:t>NPs under 42 CFR</w:t>
            </w:r>
            <w:r w:rsidR="00F231BF" w:rsidRPr="000F779A">
              <w:rPr>
                <w:rFonts w:asciiTheme="minorHAnsi" w:eastAsia="Calibri" w:hAnsiTheme="minorHAnsi" w:cstheme="minorHAnsi"/>
                <w:b/>
                <w:bCs/>
                <w:sz w:val="22"/>
                <w:szCs w:val="22"/>
              </w:rPr>
              <w:t xml:space="preserve"> </w:t>
            </w:r>
            <w:r w:rsidR="009E04A4" w:rsidRPr="000F779A">
              <w:rPr>
                <w:rFonts w:asciiTheme="minorHAnsi" w:eastAsia="Calibri" w:hAnsiTheme="minorHAnsi" w:cstheme="minorHAnsi"/>
                <w:b/>
                <w:bCs/>
                <w:sz w:val="22"/>
                <w:szCs w:val="22"/>
              </w:rPr>
              <w:t>422.107</w:t>
            </w:r>
            <w:r w:rsidR="009E04A4" w:rsidRPr="000F779A">
              <w:rPr>
                <w:rFonts w:asciiTheme="minorHAnsi" w:eastAsia="Calibri" w:hAnsiTheme="minorHAnsi" w:cstheme="minorHAnsi"/>
                <w:sz w:val="22"/>
                <w:szCs w:val="22"/>
              </w:rPr>
              <w:t>, to be part of the state’s</w:t>
            </w:r>
            <w:r w:rsidR="00F231BF"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Medicaid or CHIP programs, regardless</w:t>
            </w:r>
            <w:r w:rsidR="00F231BF"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of the coverage model. We note that this</w:t>
            </w:r>
            <w:r w:rsidR="00F231BF"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policy and opt in requirement to share</w:t>
            </w:r>
            <w:r w:rsidR="00FD7ED3" w:rsidRPr="000F779A">
              <w:rPr>
                <w:rFonts w:asciiTheme="minorHAnsi" w:eastAsia="Calibri" w:hAnsiTheme="minorHAnsi" w:cstheme="minorHAnsi"/>
                <w:sz w:val="22"/>
                <w:szCs w:val="22"/>
              </w:rPr>
              <w:t xml:space="preserve"> </w:t>
            </w:r>
            <w:r w:rsidR="009E04A4" w:rsidRPr="000F779A">
              <w:rPr>
                <w:rFonts w:asciiTheme="minorHAnsi" w:eastAsia="Calibri" w:hAnsiTheme="minorHAnsi" w:cstheme="minorHAnsi"/>
                <w:sz w:val="22"/>
                <w:szCs w:val="22"/>
              </w:rPr>
              <w:t>data between impacted payers would</w:t>
            </w:r>
          </w:p>
          <w:p w14:paraId="3108C7BD" w14:textId="4DFE3EC0" w:rsidR="009E04A4" w:rsidRPr="000F779A" w:rsidRDefault="009E04A4" w:rsidP="00FD7ED3">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not replace regulatory requirements as</w:t>
            </w:r>
            <w:r w:rsidR="00FD7ED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described at 42 CFR part 422, including</w:t>
            </w:r>
            <w:r w:rsidR="00FD7ED3"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as they relate to integrated D–SNPs.</w:t>
            </w:r>
          </w:p>
        </w:tc>
      </w:tr>
      <w:tr w:rsidR="004156FE" w:rsidRPr="000F779A" w14:paraId="0D730EAB" w14:textId="77777777" w:rsidTr="00213EE4">
        <w:trPr>
          <w:trHeight w:val="360"/>
        </w:trPr>
        <w:tc>
          <w:tcPr>
            <w:tcW w:w="2317" w:type="dxa"/>
            <w:shd w:val="clear" w:color="auto" w:fill="auto"/>
          </w:tcPr>
          <w:p w14:paraId="69547839" w14:textId="014DBD54" w:rsidR="004156FE" w:rsidRPr="000F779A" w:rsidRDefault="004156FE" w:rsidP="004156FE">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Adding §422.121</w:t>
            </w:r>
          </w:p>
        </w:tc>
        <w:tc>
          <w:tcPr>
            <w:tcW w:w="7290" w:type="dxa"/>
            <w:shd w:val="clear" w:color="auto" w:fill="auto"/>
          </w:tcPr>
          <w:p w14:paraId="2DB17EA6" w14:textId="77777777" w:rsidR="004156FE" w:rsidRPr="000F779A" w:rsidRDefault="004156FE" w:rsidP="004156FE">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§422.121 Prior authorization requirements.</w:t>
            </w:r>
          </w:p>
          <w:p w14:paraId="56F6A27C" w14:textId="7CB71A96"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(a)</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Communicating a reason for denial. </w:t>
            </w:r>
            <w:r w:rsidRPr="000F779A">
              <w:rPr>
                <w:rFonts w:asciiTheme="minorHAnsi" w:eastAsia="Calibri" w:hAnsiTheme="minorHAnsi" w:cstheme="minorHAnsi"/>
                <w:sz w:val="22"/>
                <w:szCs w:val="22"/>
              </w:rPr>
              <w:t>Beginning January 1, 2026, if the MA organization denies a prior authorization request (excluding request for coverage of drugs as defined in §422.119(b)(1)(v)), in accordance with the timeframes established in §422.568(b)(1) and §422.572(a)(1), the response to the provider must include a specific reason for the denial, regardless of the  method used to communicate that information.</w:t>
            </w:r>
          </w:p>
          <w:p w14:paraId="406B73CC" w14:textId="333F57F2"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Prior Authorization Application Programming Interface (API). </w:t>
            </w:r>
            <w:r w:rsidRPr="000F779A">
              <w:rPr>
                <w:rFonts w:asciiTheme="minorHAnsi" w:eastAsia="Calibri" w:hAnsiTheme="minorHAnsi" w:cstheme="minorHAnsi"/>
                <w:sz w:val="22"/>
                <w:szCs w:val="22"/>
              </w:rPr>
              <w:t>Beginning January 1, 2027, an MA organization must implement and maintain an API conformant with §422.119(c)(2) through (4), (d), and (e), and the standards in 45 CFR 170.215(a)(1), (b)(1)(i), and (c)(1) that—</w:t>
            </w:r>
          </w:p>
          <w:p w14:paraId="5F564E1D" w14:textId="201DB9BB"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(1) Is populated with the MA organization’s list of covered items and services (excluding drugs, as defined in §422.119(b)(1)(v)) that require prior authorization;</w:t>
            </w:r>
          </w:p>
          <w:p w14:paraId="27B84C77" w14:textId="66136563"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(2) Can identify all documentation required by the MA organization for approval of any items or services that require prior authorization;</w:t>
            </w:r>
          </w:p>
          <w:p w14:paraId="00A79E01" w14:textId="77777777"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(3) Supports a Health Insurance Portability and Accountability Act (HIPAA)- compliant prior authorization request and response, as described in 45 CFR part 162; and </w:t>
            </w:r>
          </w:p>
          <w:p w14:paraId="2EBF30A9" w14:textId="0EA6534A"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(4) Communicates the following information about prior authorization</w:t>
            </w:r>
          </w:p>
          <w:p w14:paraId="77BA8A6C" w14:textId="77777777"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requests:</w:t>
            </w:r>
          </w:p>
          <w:p w14:paraId="4A5D58EE" w14:textId="77777777" w:rsidR="004156FE" w:rsidRPr="000F779A" w:rsidRDefault="004156FE" w:rsidP="004156FE">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Whether the MA organization—</w:t>
            </w:r>
          </w:p>
          <w:p w14:paraId="4905111B" w14:textId="41C8AE2B"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Approves the prior authorization request (and the date or circumstance under which the authorization ends);</w:t>
            </w:r>
          </w:p>
          <w:p w14:paraId="31C98DCB" w14:textId="77777777"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 Denies the prior authorization request; or </w:t>
            </w:r>
          </w:p>
          <w:p w14:paraId="3364EEF1" w14:textId="4135389C"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(C) Requests more information.</w:t>
            </w:r>
          </w:p>
          <w:p w14:paraId="7A3BDE02" w14:textId="2571EE1A" w:rsidR="004156FE" w:rsidRPr="000F779A" w:rsidRDefault="004156FE" w:rsidP="004156FE">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If the MA organization denies the prior authorization request, it must include a specific reason for the denial.</w:t>
            </w:r>
          </w:p>
          <w:p w14:paraId="56F7D4AB" w14:textId="2F6AF41B"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(5) In addition to the requirements of this section, an MA organization using prior authorization polices or making prior authorization decisions must meet all other applicable requirements under this part, including §422.138 and the requirements in subpart M of this part.</w:t>
            </w:r>
          </w:p>
          <w:p w14:paraId="2B25C6C6" w14:textId="57C53D38"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(c)</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Publicly reporting prior authorization metrics. </w:t>
            </w:r>
            <w:r w:rsidRPr="000F779A">
              <w:rPr>
                <w:rFonts w:asciiTheme="minorHAnsi" w:eastAsia="Calibri" w:hAnsiTheme="minorHAnsi" w:cstheme="minorHAnsi"/>
                <w:sz w:val="22"/>
                <w:szCs w:val="22"/>
              </w:rPr>
              <w:t>Beginning in 2026, following each calendar year that it offers an MA plan, an MA organization must report prior authorization data, excluding data on drugs as defined in §422.119(b)(1)(v), at the MA contract level by March 31. The MA organization must make the following data from the previous calendar year publicly accessible by posting them on its website:</w:t>
            </w:r>
          </w:p>
          <w:p w14:paraId="44963C3E" w14:textId="34C42F1C"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(1) A list of all items and services that require prior authorization.</w:t>
            </w:r>
          </w:p>
          <w:p w14:paraId="57C02C17" w14:textId="0DC14638"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(2) The percentage of standard prior authorization requests that were approved, aggregated for all items and services.</w:t>
            </w:r>
          </w:p>
          <w:p w14:paraId="74D1C167" w14:textId="251C0113"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(3) The percentage of standard prior authorization requests that were denied,</w:t>
            </w:r>
          </w:p>
          <w:p w14:paraId="2DF58A3A" w14:textId="77777777"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aggregated for all items and services.</w:t>
            </w:r>
          </w:p>
          <w:p w14:paraId="5D295805" w14:textId="1F029DC6"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(4) The percentage of standard prior authorization requests that were approved after appeal, aggregated for all items and services.</w:t>
            </w:r>
          </w:p>
          <w:p w14:paraId="57EBADF0" w14:textId="42B0CBEB"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(5) The percentage of prior authorization requests for which the timeframe for review was extended, and the request was approved, aggregated for all items and services.</w:t>
            </w:r>
          </w:p>
          <w:p w14:paraId="4195D390" w14:textId="14007629"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(6) The percentage of expedited prior authorization requests that were approved, aggregated for all items and services.</w:t>
            </w:r>
          </w:p>
          <w:p w14:paraId="1AAB9258" w14:textId="4B883530"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(7) The percentage of expedited prior authorization requests that were denied,</w:t>
            </w:r>
          </w:p>
          <w:p w14:paraId="4319F5D6" w14:textId="77777777"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aggregated for all items and services.</w:t>
            </w:r>
          </w:p>
          <w:p w14:paraId="54A64018" w14:textId="0E5CDC3C"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(8) The average and median time that elapsed between the submission of a </w:t>
            </w:r>
            <w:r w:rsidRPr="000F779A">
              <w:rPr>
                <w:rFonts w:asciiTheme="minorHAnsi" w:eastAsia="Calibri" w:hAnsiTheme="minorHAnsi" w:cstheme="minorHAnsi"/>
                <w:sz w:val="22"/>
                <w:szCs w:val="22"/>
              </w:rPr>
              <w:lastRenderedPageBreak/>
              <w:t>request and a determination by the MA plan, for standard prior authorizations,</w:t>
            </w:r>
          </w:p>
          <w:p w14:paraId="08F5C512" w14:textId="77777777"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aggregated for all items and services.</w:t>
            </w:r>
          </w:p>
          <w:p w14:paraId="68950E74" w14:textId="40EDAC4C"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(9) The average and median time that elapsed between the submission of a request and a decision by the MA plan for expedited prior authorizations, aggregated for all items and services.</w:t>
            </w:r>
          </w:p>
        </w:tc>
        <w:tc>
          <w:tcPr>
            <w:tcW w:w="4140" w:type="dxa"/>
            <w:shd w:val="clear" w:color="auto" w:fill="auto"/>
          </w:tcPr>
          <w:p w14:paraId="5C7900D9" w14:textId="53278E77" w:rsidR="00B351F3" w:rsidRPr="000F779A" w:rsidRDefault="00B351F3" w:rsidP="00B351F3">
            <w:pPr>
              <w:widowControl w:val="0"/>
              <w:rPr>
                <w:rFonts w:asciiTheme="minorHAnsi" w:eastAsia="Calibri" w:hAnsiTheme="minorHAnsi" w:cstheme="minorHAnsi"/>
                <w:b/>
                <w:sz w:val="22"/>
                <w:szCs w:val="22"/>
              </w:rPr>
            </w:pPr>
            <w:r w:rsidRPr="000F779A">
              <w:rPr>
                <w:rFonts w:asciiTheme="minorHAnsi" w:eastAsia="Calibri" w:hAnsiTheme="minorHAnsi" w:cstheme="minorHAnsi"/>
                <w:bCs/>
                <w:sz w:val="22"/>
                <w:szCs w:val="22"/>
              </w:rPr>
              <w:lastRenderedPageBreak/>
              <w:t>Because applicable integrated plans</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w:t>
            </w:r>
            <w:r w:rsidRPr="000F779A">
              <w:rPr>
                <w:rFonts w:asciiTheme="minorHAnsi" w:eastAsia="Calibri" w:hAnsiTheme="minorHAnsi" w:cstheme="minorHAnsi"/>
                <w:b/>
                <w:sz w:val="22"/>
                <w:szCs w:val="22"/>
              </w:rPr>
              <w:t>D–SNPs that have exclusively aligned</w:t>
            </w:r>
            <w:r w:rsidR="00827C90" w:rsidRPr="000F779A">
              <w:rPr>
                <w:rFonts w:asciiTheme="minorHAnsi" w:eastAsia="Calibri" w:hAnsiTheme="minorHAnsi" w:cstheme="minorHAnsi"/>
                <w:b/>
                <w:sz w:val="22"/>
                <w:szCs w:val="22"/>
              </w:rPr>
              <w:t xml:space="preserve"> </w:t>
            </w:r>
            <w:r w:rsidRPr="000F779A">
              <w:rPr>
                <w:rFonts w:asciiTheme="minorHAnsi" w:eastAsia="Calibri" w:hAnsiTheme="minorHAnsi" w:cstheme="minorHAnsi"/>
                <w:b/>
                <w:sz w:val="22"/>
                <w:szCs w:val="22"/>
              </w:rPr>
              <w:t>enrollment with an affiliated Medicaid</w:t>
            </w:r>
          </w:p>
          <w:p w14:paraId="1D870A0A" w14:textId="58E3033D" w:rsidR="00B351F3" w:rsidRPr="000F779A" w:rsidRDefault="00B351F3" w:rsidP="00B351F3">
            <w:pPr>
              <w:widowControl w:val="0"/>
              <w:rPr>
                <w:rFonts w:asciiTheme="minorHAnsi" w:eastAsia="Calibri" w:hAnsiTheme="minorHAnsi" w:cstheme="minorHAnsi"/>
                <w:bCs/>
                <w:sz w:val="22"/>
                <w:szCs w:val="22"/>
              </w:rPr>
            </w:pPr>
            <w:r w:rsidRPr="000F779A">
              <w:rPr>
                <w:rFonts w:asciiTheme="minorHAnsi" w:eastAsia="Calibri" w:hAnsiTheme="minorHAnsi" w:cstheme="minorHAnsi"/>
                <w:b/>
                <w:sz w:val="22"/>
                <w:szCs w:val="22"/>
              </w:rPr>
              <w:t>MCO</w:t>
            </w:r>
            <w:r w:rsidRPr="000F779A">
              <w:rPr>
                <w:rFonts w:asciiTheme="minorHAnsi" w:eastAsia="Calibri" w:hAnsiTheme="minorHAnsi" w:cstheme="minorHAnsi"/>
                <w:bCs/>
                <w:sz w:val="22"/>
                <w:szCs w:val="22"/>
              </w:rPr>
              <w:t>) are a type of MA plan, the</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regulations regarding prior</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authorization processes that we are</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finalizing apply to them. The final rule</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revises the specific timeframes for prior</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authorization decisions by applicable</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integrated plans. Applicable integrated</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plans cover both Medicaid long term</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services and supports and MA benefits</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in ten states. Existing requirements</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already govern denial notices issued by</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applicable integrated plans to their</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enrollees and are similar to the</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Medicaid managed care and MA rules</w:t>
            </w:r>
            <w:r w:rsidR="00827C9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 xml:space="preserve">described in the prior </w:t>
            </w:r>
            <w:r w:rsidR="001807C0" w:rsidRPr="000F779A">
              <w:rPr>
                <w:rFonts w:asciiTheme="minorHAnsi" w:eastAsia="Calibri" w:hAnsiTheme="minorHAnsi" w:cstheme="minorHAnsi"/>
                <w:bCs/>
                <w:sz w:val="22"/>
                <w:szCs w:val="22"/>
              </w:rPr>
              <w:t>p</w:t>
            </w:r>
            <w:r w:rsidRPr="000F779A">
              <w:rPr>
                <w:rFonts w:asciiTheme="minorHAnsi" w:eastAsia="Calibri" w:hAnsiTheme="minorHAnsi" w:cstheme="minorHAnsi"/>
                <w:bCs/>
                <w:sz w:val="22"/>
                <w:szCs w:val="22"/>
              </w:rPr>
              <w:t>aragraphs.</w:t>
            </w:r>
            <w:r w:rsidR="004F166C"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Integrated organization determination</w:t>
            </w:r>
            <w:r w:rsidR="001807C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notices must be written in plain</w:t>
            </w:r>
            <w:r w:rsidR="001807C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language, available in a language and</w:t>
            </w:r>
            <w:r w:rsidR="001807C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format that is accessible to the enrollee,</w:t>
            </w:r>
            <w:r w:rsidR="001807C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and explain—</w:t>
            </w:r>
          </w:p>
          <w:p w14:paraId="6C60EB3D" w14:textId="77777777" w:rsidR="001807C0"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The applicable integrated plan’s</w:t>
            </w:r>
            <w:r w:rsidR="001807C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determination;</w:t>
            </w:r>
            <w:r w:rsidR="001807C0" w:rsidRPr="000F779A">
              <w:rPr>
                <w:rFonts w:asciiTheme="minorHAnsi" w:eastAsia="Calibri" w:hAnsiTheme="minorHAnsi" w:cstheme="minorHAnsi"/>
                <w:bCs/>
                <w:sz w:val="22"/>
                <w:szCs w:val="22"/>
              </w:rPr>
              <w:t xml:space="preserve"> </w:t>
            </w:r>
          </w:p>
          <w:p w14:paraId="3E8ADB04" w14:textId="77777777" w:rsidR="00BF286C"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The date the determination was</w:t>
            </w:r>
            <w:r w:rsidR="001807C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made;</w:t>
            </w:r>
            <w:r w:rsidR="00BF286C" w:rsidRPr="000F779A">
              <w:rPr>
                <w:rFonts w:asciiTheme="minorHAnsi" w:eastAsia="Calibri" w:hAnsiTheme="minorHAnsi" w:cstheme="minorHAnsi"/>
                <w:bCs/>
                <w:sz w:val="22"/>
                <w:szCs w:val="22"/>
              </w:rPr>
              <w:t xml:space="preserve"> </w:t>
            </w:r>
          </w:p>
          <w:p w14:paraId="37097003" w14:textId="77777777" w:rsidR="00BF286C"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The date the determination will</w:t>
            </w:r>
            <w:r w:rsidR="00BF286C"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 xml:space="preserve">take </w:t>
            </w:r>
            <w:r w:rsidRPr="000F779A">
              <w:rPr>
                <w:rFonts w:asciiTheme="minorHAnsi" w:eastAsia="Calibri" w:hAnsiTheme="minorHAnsi" w:cstheme="minorHAnsi"/>
                <w:bCs/>
                <w:sz w:val="22"/>
                <w:szCs w:val="22"/>
              </w:rPr>
              <w:lastRenderedPageBreak/>
              <w:t>effect;</w:t>
            </w:r>
            <w:r w:rsidR="00BF286C" w:rsidRPr="000F779A">
              <w:rPr>
                <w:rFonts w:asciiTheme="minorHAnsi" w:eastAsia="Calibri" w:hAnsiTheme="minorHAnsi" w:cstheme="minorHAnsi"/>
                <w:bCs/>
                <w:sz w:val="22"/>
                <w:szCs w:val="22"/>
              </w:rPr>
              <w:t xml:space="preserve"> </w:t>
            </w:r>
          </w:p>
          <w:p w14:paraId="6B5391C9" w14:textId="77777777" w:rsidR="00BF286C"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The reasons for the determination;</w:t>
            </w:r>
            <w:r w:rsidR="00BF286C" w:rsidRPr="000F779A">
              <w:rPr>
                <w:rFonts w:asciiTheme="minorHAnsi" w:eastAsia="Calibri" w:hAnsiTheme="minorHAnsi" w:cstheme="minorHAnsi"/>
                <w:bCs/>
                <w:sz w:val="22"/>
                <w:szCs w:val="22"/>
              </w:rPr>
              <w:t xml:space="preserve"> </w:t>
            </w:r>
          </w:p>
          <w:p w14:paraId="06E20FDA" w14:textId="77777777" w:rsidR="00C50F60"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The enrollee’s right to file an</w:t>
            </w:r>
            <w:r w:rsidR="00BF286C"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integrated reconsideration and the</w:t>
            </w:r>
            <w:r w:rsidR="00BF286C"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ability for someone else to file an appeal</w:t>
            </w:r>
            <w:r w:rsidR="00C50F6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on the enrollee’s behalf;</w:t>
            </w:r>
            <w:r w:rsidR="00C50F60" w:rsidRPr="000F779A">
              <w:rPr>
                <w:rFonts w:asciiTheme="minorHAnsi" w:eastAsia="Calibri" w:hAnsiTheme="minorHAnsi" w:cstheme="minorHAnsi"/>
                <w:bCs/>
                <w:sz w:val="22"/>
                <w:szCs w:val="22"/>
              </w:rPr>
              <w:t xml:space="preserve"> </w:t>
            </w:r>
          </w:p>
          <w:p w14:paraId="0552DC20" w14:textId="77777777" w:rsidR="00C50F60"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Procedures for exercising an</w:t>
            </w:r>
            <w:r w:rsidR="00C50F6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enrollee’s rights to an integrated</w:t>
            </w:r>
            <w:r w:rsidR="00C50F6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reconsideration;</w:t>
            </w:r>
            <w:r w:rsidR="00C50F60" w:rsidRPr="000F779A">
              <w:rPr>
                <w:rFonts w:asciiTheme="minorHAnsi" w:eastAsia="Calibri" w:hAnsiTheme="minorHAnsi" w:cstheme="minorHAnsi"/>
                <w:bCs/>
                <w:sz w:val="22"/>
                <w:szCs w:val="22"/>
              </w:rPr>
              <w:t xml:space="preserve"> </w:t>
            </w:r>
          </w:p>
          <w:p w14:paraId="58618443" w14:textId="77777777" w:rsidR="00C31648"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The circumstances under which</w:t>
            </w:r>
            <w:r w:rsidR="00C50F6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expedited resolution is available and</w:t>
            </w:r>
            <w:r w:rsidR="00C50F60"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how to request it; and</w:t>
            </w:r>
            <w:r w:rsidR="00C50F60" w:rsidRPr="000F779A">
              <w:rPr>
                <w:rFonts w:asciiTheme="minorHAnsi" w:eastAsia="Calibri" w:hAnsiTheme="minorHAnsi" w:cstheme="minorHAnsi"/>
                <w:bCs/>
                <w:sz w:val="22"/>
                <w:szCs w:val="22"/>
              </w:rPr>
              <w:t xml:space="preserve"> </w:t>
            </w:r>
          </w:p>
          <w:p w14:paraId="41DDFC09" w14:textId="4AC021FB" w:rsidR="00B351F3" w:rsidRPr="000F779A" w:rsidRDefault="00B351F3" w:rsidP="00B351F3">
            <w:pPr>
              <w:pStyle w:val="ListParagraph"/>
              <w:widowControl w:val="0"/>
              <w:numPr>
                <w:ilvl w:val="0"/>
                <w:numId w:val="38"/>
              </w:numPr>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If applicable, the enrollee’s rights to</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have benefits continue pending the</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resolution of the integrated appeal</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process.</w:t>
            </w:r>
          </w:p>
          <w:p w14:paraId="22CDD5A5" w14:textId="77777777" w:rsidR="00C31648" w:rsidRPr="000F779A" w:rsidRDefault="00C31648" w:rsidP="00B351F3">
            <w:pPr>
              <w:widowControl w:val="0"/>
              <w:rPr>
                <w:rFonts w:asciiTheme="minorHAnsi" w:eastAsia="Calibri" w:hAnsiTheme="minorHAnsi" w:cstheme="minorHAnsi"/>
                <w:bCs/>
                <w:sz w:val="22"/>
                <w:szCs w:val="22"/>
              </w:rPr>
            </w:pPr>
          </w:p>
          <w:p w14:paraId="45CD98E3" w14:textId="77777777" w:rsidR="004156FE" w:rsidRPr="000F779A" w:rsidRDefault="00B351F3" w:rsidP="00C31648">
            <w:pPr>
              <w:widowControl w:val="0"/>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As with the notices required from MA</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plans, our finalized policies do not</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change the content requirements for</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these written denial notices to enrollees</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but will supplement these notices by</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requiring applicable integrated plans to</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notify the provider of the reason for a</w:t>
            </w:r>
            <w:r w:rsidR="00C31648"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denial of a prior authorization request.</w:t>
            </w:r>
          </w:p>
          <w:p w14:paraId="6F55C467" w14:textId="77777777" w:rsidR="009E1825" w:rsidRPr="000F779A" w:rsidRDefault="009E1825" w:rsidP="00C31648">
            <w:pPr>
              <w:widowControl w:val="0"/>
              <w:rPr>
                <w:rFonts w:asciiTheme="minorHAnsi" w:eastAsia="Calibri" w:hAnsiTheme="minorHAnsi" w:cstheme="minorHAnsi"/>
                <w:bCs/>
                <w:sz w:val="22"/>
                <w:szCs w:val="22"/>
              </w:rPr>
            </w:pPr>
          </w:p>
          <w:p w14:paraId="413500E6" w14:textId="77777777" w:rsidR="009E1825" w:rsidRPr="000F779A" w:rsidRDefault="009E1825" w:rsidP="00C31648">
            <w:pPr>
              <w:widowControl w:val="0"/>
              <w:rPr>
                <w:rFonts w:asciiTheme="minorHAnsi" w:eastAsia="Calibri" w:hAnsiTheme="minorHAnsi" w:cstheme="minorHAnsi"/>
                <w:b/>
                <w:i/>
                <w:iCs/>
                <w:sz w:val="22"/>
                <w:szCs w:val="22"/>
              </w:rPr>
            </w:pPr>
            <w:r w:rsidRPr="000F779A">
              <w:rPr>
                <w:rFonts w:asciiTheme="minorHAnsi" w:eastAsia="Calibri" w:hAnsiTheme="minorHAnsi" w:cstheme="minorHAnsi"/>
                <w:b/>
                <w:i/>
                <w:iCs/>
                <w:sz w:val="22"/>
                <w:szCs w:val="22"/>
              </w:rPr>
              <w:t>Comment regarding D-SNP reporting of prior authorization metrics:</w:t>
            </w:r>
          </w:p>
          <w:p w14:paraId="04FA3AE7" w14:textId="6639E250" w:rsidR="00CF238B" w:rsidRPr="000F779A" w:rsidRDefault="009E1825" w:rsidP="00CF238B">
            <w:pPr>
              <w:widowControl w:val="0"/>
              <w:rPr>
                <w:rFonts w:asciiTheme="minorHAnsi" w:eastAsia="Calibri" w:hAnsiTheme="minorHAnsi" w:cstheme="minorHAnsi"/>
                <w:bCs/>
                <w:sz w:val="22"/>
                <w:szCs w:val="22"/>
              </w:rPr>
            </w:pPr>
            <w:r w:rsidRPr="000F779A">
              <w:rPr>
                <w:rFonts w:asciiTheme="minorHAnsi" w:eastAsia="Calibri" w:hAnsiTheme="minorHAnsi" w:cstheme="minorHAnsi"/>
                <w:bCs/>
                <w:i/>
                <w:iCs/>
                <w:sz w:val="22"/>
                <w:szCs w:val="22"/>
              </w:rPr>
              <w:t xml:space="preserve">Comment: </w:t>
            </w:r>
            <w:r w:rsidRPr="000F779A">
              <w:rPr>
                <w:rFonts w:asciiTheme="minorHAnsi" w:eastAsia="Calibri" w:hAnsiTheme="minorHAnsi" w:cstheme="minorHAnsi"/>
                <w:bCs/>
                <w:sz w:val="22"/>
                <w:szCs w:val="22"/>
              </w:rPr>
              <w:t>A commenter requested</w:t>
            </w:r>
            <w:r w:rsidR="00686F0F"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lastRenderedPageBreak/>
              <w:t>clarification on whether integrated care</w:t>
            </w:r>
            <w:r w:rsidR="00686F0F"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plans for dually eligible individuals,</w:t>
            </w:r>
            <w:r w:rsidR="00686F0F"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such as FIDE SNPs, should report these</w:t>
            </w:r>
            <w:r w:rsidR="00686F0F"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data consistent with MA organizations,</w:t>
            </w:r>
            <w:r w:rsidR="00686F0F"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at the contract level, or consistent with</w:t>
            </w:r>
            <w:r w:rsidR="00CF238B" w:rsidRPr="000F779A">
              <w:rPr>
                <w:rFonts w:asciiTheme="minorHAnsi" w:eastAsiaTheme="minorHAnsi" w:hAnsiTheme="minorHAnsi" w:cstheme="minorHAnsi"/>
                <w:sz w:val="18"/>
                <w:szCs w:val="18"/>
              </w:rPr>
              <w:t xml:space="preserve"> </w:t>
            </w:r>
            <w:r w:rsidR="00CF238B" w:rsidRPr="000F779A">
              <w:rPr>
                <w:rFonts w:asciiTheme="minorHAnsi" w:eastAsia="Calibri" w:hAnsiTheme="minorHAnsi" w:cstheme="minorHAnsi"/>
                <w:bCs/>
                <w:sz w:val="22"/>
                <w:szCs w:val="22"/>
              </w:rPr>
              <w:t>Medicaid managed care plans, at the</w:t>
            </w:r>
            <w:r w:rsidR="00686F0F" w:rsidRPr="000F779A">
              <w:rPr>
                <w:rFonts w:asciiTheme="minorHAnsi" w:eastAsia="Calibri" w:hAnsiTheme="minorHAnsi" w:cstheme="minorHAnsi"/>
                <w:bCs/>
                <w:sz w:val="22"/>
                <w:szCs w:val="22"/>
              </w:rPr>
              <w:t xml:space="preserve"> </w:t>
            </w:r>
            <w:r w:rsidR="00CF238B" w:rsidRPr="000F779A">
              <w:rPr>
                <w:rFonts w:asciiTheme="minorHAnsi" w:eastAsia="Calibri" w:hAnsiTheme="minorHAnsi" w:cstheme="minorHAnsi"/>
                <w:bCs/>
                <w:sz w:val="22"/>
                <w:szCs w:val="22"/>
              </w:rPr>
              <w:t>plan level.</w:t>
            </w:r>
          </w:p>
          <w:p w14:paraId="4392B991" w14:textId="77777777" w:rsidR="00686F0F" w:rsidRPr="000F779A" w:rsidRDefault="00686F0F" w:rsidP="00CF238B">
            <w:pPr>
              <w:widowControl w:val="0"/>
              <w:rPr>
                <w:rFonts w:asciiTheme="minorHAnsi" w:eastAsia="Calibri" w:hAnsiTheme="minorHAnsi" w:cstheme="minorHAnsi"/>
                <w:bCs/>
                <w:i/>
                <w:iCs/>
                <w:sz w:val="22"/>
                <w:szCs w:val="22"/>
              </w:rPr>
            </w:pPr>
          </w:p>
          <w:p w14:paraId="6A04F8E0" w14:textId="395F74B4" w:rsidR="00CF238B" w:rsidRPr="000F779A" w:rsidRDefault="00CF238B" w:rsidP="00CF238B">
            <w:pPr>
              <w:widowControl w:val="0"/>
              <w:rPr>
                <w:rFonts w:asciiTheme="minorHAnsi" w:eastAsia="Calibri" w:hAnsiTheme="minorHAnsi" w:cstheme="minorHAnsi"/>
                <w:bCs/>
                <w:sz w:val="22"/>
                <w:szCs w:val="22"/>
              </w:rPr>
            </w:pPr>
            <w:r w:rsidRPr="000F779A">
              <w:rPr>
                <w:rFonts w:asciiTheme="minorHAnsi" w:eastAsia="Calibri" w:hAnsiTheme="minorHAnsi" w:cstheme="minorHAnsi"/>
                <w:bCs/>
                <w:i/>
                <w:iCs/>
                <w:sz w:val="22"/>
                <w:szCs w:val="22"/>
              </w:rPr>
              <w:t xml:space="preserve">Response: </w:t>
            </w:r>
            <w:r w:rsidRPr="000F779A">
              <w:rPr>
                <w:rFonts w:asciiTheme="minorHAnsi" w:eastAsia="Calibri" w:hAnsiTheme="minorHAnsi" w:cstheme="minorHAnsi"/>
                <w:bCs/>
                <w:sz w:val="22"/>
                <w:szCs w:val="22"/>
              </w:rPr>
              <w:t>Integrated care plans</w:t>
            </w:r>
            <w:r w:rsidR="00686F0F"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generally combine D–SNPs, which</w:t>
            </w:r>
            <w:r w:rsidR="00686F0F"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include FIDE SNPs and HIDE SNPs—both as defined at 42 CFR 422.2—and</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Medicaid managed care plans offered by</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the same parent organization. D–SNPs</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are a type of MA plan designed to meet</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the needs of individuals who are dually</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eligible for Medicare and Medicaid, also</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known as dually eligible individuals. In</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these arrangements, there is an MA</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organization with a contract with CMS</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for the MA D–SNP and an organization</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with a contact with the state for the</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Medicaid managed care plan.</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For items and services that require</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prior authorization under an integrated</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plan’s MA benefit package, data must be</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reported in a manner consistent with</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the requirements for MA organizations,</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which we are finalizing at the contract</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level. In the case of integrated care, the</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 xml:space="preserve">affiliated Medicaid managed care </w:t>
            </w:r>
            <w:r w:rsidRPr="000F779A">
              <w:rPr>
                <w:rFonts w:asciiTheme="minorHAnsi" w:eastAsia="Calibri" w:hAnsiTheme="minorHAnsi" w:cstheme="minorHAnsi"/>
                <w:bCs/>
                <w:sz w:val="22"/>
                <w:szCs w:val="22"/>
              </w:rPr>
              <w:lastRenderedPageBreak/>
              <w:t>plan</w:t>
            </w:r>
          </w:p>
          <w:p w14:paraId="5BCC9DBD" w14:textId="77777777" w:rsidR="00CF238B" w:rsidRPr="000F779A" w:rsidRDefault="00CF238B" w:rsidP="00CF238B">
            <w:pPr>
              <w:widowControl w:val="0"/>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will report prior authorizations of items</w:t>
            </w:r>
          </w:p>
          <w:p w14:paraId="395859A0" w14:textId="219C9AD3" w:rsidR="009E1825" w:rsidRPr="000F779A" w:rsidRDefault="00CF238B" w:rsidP="00847363">
            <w:pPr>
              <w:widowControl w:val="0"/>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t>and services covered under the plan’s</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Medicaid benefit package at the plan</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level. Where there is not a clear</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delineation between whether items or</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services are covered under Medicare or</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Medicaid (for example, home health</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services), we will accept any reasonable</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methodology for attributing the prior</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authorization reporting to one payer</w:t>
            </w:r>
            <w:r w:rsidR="00847363" w:rsidRPr="000F779A">
              <w:rPr>
                <w:rFonts w:asciiTheme="minorHAnsi" w:eastAsia="Calibri" w:hAnsiTheme="minorHAnsi" w:cstheme="minorHAnsi"/>
                <w:bCs/>
                <w:sz w:val="22"/>
                <w:szCs w:val="22"/>
              </w:rPr>
              <w:t xml:space="preserve"> </w:t>
            </w:r>
            <w:r w:rsidRPr="000F779A">
              <w:rPr>
                <w:rFonts w:asciiTheme="minorHAnsi" w:eastAsia="Calibri" w:hAnsiTheme="minorHAnsi" w:cstheme="minorHAnsi"/>
                <w:bCs/>
                <w:sz w:val="22"/>
                <w:szCs w:val="22"/>
              </w:rPr>
              <w:t>versus the other.</w:t>
            </w:r>
          </w:p>
        </w:tc>
      </w:tr>
      <w:tr w:rsidR="004156FE" w:rsidRPr="000F779A" w14:paraId="0F0D4D07" w14:textId="77777777" w:rsidTr="00213EE4">
        <w:trPr>
          <w:trHeight w:val="360"/>
        </w:trPr>
        <w:tc>
          <w:tcPr>
            <w:tcW w:w="2317" w:type="dxa"/>
            <w:shd w:val="clear" w:color="auto" w:fill="auto"/>
          </w:tcPr>
          <w:p w14:paraId="4B1B0734" w14:textId="0510B589" w:rsidR="004156FE" w:rsidRPr="000F779A" w:rsidRDefault="004156FE" w:rsidP="004156FE">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Amend §422.568 by—</w:t>
            </w:r>
          </w:p>
          <w:p w14:paraId="486C38A5" w14:textId="2E68C358" w:rsidR="004156FE" w:rsidRPr="000F779A" w:rsidRDefault="004156FE" w:rsidP="004156FE">
            <w:pPr>
              <w:pStyle w:val="ListParagraph"/>
              <w:widowControl w:val="0"/>
              <w:numPr>
                <w:ilvl w:val="0"/>
                <w:numId w:val="36"/>
              </w:numPr>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 (b)(1).</w:t>
            </w:r>
          </w:p>
          <w:p w14:paraId="17CD7F75" w14:textId="5FCB8379" w:rsidR="004156FE" w:rsidRPr="000F779A" w:rsidRDefault="004156FE" w:rsidP="004156FE">
            <w:pPr>
              <w:pStyle w:val="ListParagraph"/>
              <w:widowControl w:val="0"/>
              <w:numPr>
                <w:ilvl w:val="0"/>
                <w:numId w:val="36"/>
              </w:numPr>
              <w:rPr>
                <w:rFonts w:asciiTheme="minorHAnsi" w:eastAsia="Calibri" w:hAnsiTheme="minorHAnsi" w:cstheme="minorHAnsi"/>
                <w:sz w:val="22"/>
                <w:szCs w:val="22"/>
              </w:rPr>
            </w:pPr>
            <w:r w:rsidRPr="000F779A">
              <w:rPr>
                <w:rFonts w:asciiTheme="minorHAnsi" w:eastAsia="Calibri" w:hAnsiTheme="minorHAnsi" w:cstheme="minorHAnsi"/>
                <w:sz w:val="22"/>
                <w:szCs w:val="22"/>
              </w:rPr>
              <w:t>Redesignating paragraph (b)(2) as paragraph (b)(3).</w:t>
            </w:r>
          </w:p>
          <w:p w14:paraId="6A7548D7" w14:textId="77777777" w:rsidR="004156FE" w:rsidRPr="000F779A" w:rsidRDefault="004156FE" w:rsidP="004156FE">
            <w:pPr>
              <w:pStyle w:val="ListParagraph"/>
              <w:widowControl w:val="0"/>
              <w:numPr>
                <w:ilvl w:val="0"/>
                <w:numId w:val="36"/>
              </w:numPr>
              <w:rPr>
                <w:rFonts w:asciiTheme="minorHAnsi" w:eastAsia="Calibri" w:hAnsiTheme="minorHAnsi" w:cstheme="minorHAnsi"/>
                <w:sz w:val="22"/>
                <w:szCs w:val="22"/>
              </w:rPr>
            </w:pPr>
            <w:r w:rsidRPr="000F779A">
              <w:rPr>
                <w:rFonts w:asciiTheme="minorHAnsi" w:eastAsia="Calibri" w:hAnsiTheme="minorHAnsi" w:cstheme="minorHAnsi"/>
                <w:sz w:val="22"/>
                <w:szCs w:val="22"/>
              </w:rPr>
              <w:t>Adding new paragraph (b)(2).</w:t>
            </w:r>
          </w:p>
          <w:p w14:paraId="255B36C3" w14:textId="6BE09021" w:rsidR="004156FE" w:rsidRPr="000F779A" w:rsidRDefault="004156FE" w:rsidP="004156FE">
            <w:pPr>
              <w:pStyle w:val="ListParagraph"/>
              <w:widowControl w:val="0"/>
              <w:numPr>
                <w:ilvl w:val="0"/>
                <w:numId w:val="36"/>
              </w:numPr>
              <w:rPr>
                <w:rFonts w:asciiTheme="minorHAnsi" w:eastAsia="Calibri" w:hAnsiTheme="minorHAnsi" w:cstheme="minorHAnsi"/>
                <w:b/>
                <w:bCs/>
                <w:i/>
                <w:iCs/>
                <w:sz w:val="22"/>
                <w:szCs w:val="22"/>
              </w:rPr>
            </w:pPr>
            <w:r w:rsidRPr="000F779A">
              <w:rPr>
                <w:rFonts w:asciiTheme="minorHAnsi" w:eastAsia="Calibri" w:hAnsiTheme="minorHAnsi" w:cstheme="minorHAnsi"/>
                <w:sz w:val="22"/>
                <w:szCs w:val="22"/>
              </w:rPr>
              <w:t xml:space="preserve">In newly redesignated paragraph (b)(3), removing the phrase ‘‘under the provisions in paragraph (b)(1)(i) of this section’’ and adding in its </w:t>
            </w:r>
            <w:r w:rsidRPr="000F779A">
              <w:rPr>
                <w:rFonts w:asciiTheme="minorHAnsi" w:eastAsia="Calibri" w:hAnsiTheme="minorHAnsi" w:cstheme="minorHAnsi"/>
                <w:sz w:val="22"/>
                <w:szCs w:val="22"/>
              </w:rPr>
              <w:lastRenderedPageBreak/>
              <w:t>place the phrase ‘‘under the provisions in paragraph (b)(2) of this section.’’</w:t>
            </w:r>
          </w:p>
        </w:tc>
        <w:tc>
          <w:tcPr>
            <w:tcW w:w="7290" w:type="dxa"/>
            <w:shd w:val="clear" w:color="auto" w:fill="auto"/>
          </w:tcPr>
          <w:p w14:paraId="35D76F58" w14:textId="77777777" w:rsidR="004156FE" w:rsidRPr="000F779A" w:rsidRDefault="004156FE" w:rsidP="004156FE">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§422.568 Standard timeframes and notice requirements for organization determinations.</w:t>
            </w:r>
          </w:p>
          <w:p w14:paraId="15F25836" w14:textId="54F53238"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(b)(1)</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Requests for service or item. </w:t>
            </w:r>
            <w:r w:rsidRPr="000F779A">
              <w:rPr>
                <w:rFonts w:asciiTheme="minorHAnsi" w:eastAsia="Calibri" w:hAnsiTheme="minorHAnsi" w:cstheme="minorHAnsi"/>
                <w:sz w:val="22"/>
                <w:szCs w:val="22"/>
              </w:rPr>
              <w:t>Except as provided in paragraph (b)(2) of this section, when a party has made a request for an item or service, the MA</w:t>
            </w:r>
          </w:p>
          <w:p w14:paraId="35528CBF" w14:textId="28C252A3"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organization must notify the enrollee of its determination as expeditiously as the enrollee’s health condition requires but no later than either of the following:</w:t>
            </w:r>
          </w:p>
          <w:p w14:paraId="394FA2FD" w14:textId="352379FD" w:rsidR="004156FE" w:rsidRPr="000F779A" w:rsidRDefault="004156FE" w:rsidP="004156FE">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For a service or item not subject to the prior authorization rules in §422.122, 14 calendar days after receiving the request for the standard organization determination.</w:t>
            </w:r>
          </w:p>
          <w:p w14:paraId="015EAF14" w14:textId="2D0BB202" w:rsidR="004156FE" w:rsidRPr="000F779A" w:rsidRDefault="004156FE" w:rsidP="004156FE">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Beginning on or after January 1, 2026, for a service or item subject to the prior authorization rules in §422.122, 7 calendar days after receiving the request for the standard organization determination.</w:t>
            </w:r>
          </w:p>
          <w:p w14:paraId="01331FB7" w14:textId="77777777"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(2) </w:t>
            </w:r>
            <w:r w:rsidRPr="000F779A">
              <w:rPr>
                <w:rFonts w:asciiTheme="minorHAnsi" w:eastAsia="Calibri" w:hAnsiTheme="minorHAnsi" w:cstheme="minorHAnsi"/>
                <w:i/>
                <w:iCs/>
                <w:sz w:val="22"/>
                <w:szCs w:val="22"/>
              </w:rPr>
              <w:t>Extensions; requests for service or item</w:t>
            </w:r>
            <w:r w:rsidRPr="000F779A">
              <w:rPr>
                <w:rFonts w:asciiTheme="minorHAnsi" w:eastAsia="Calibri" w:hAnsiTheme="minorHAnsi" w:cstheme="minorHAnsi"/>
                <w:sz w:val="22"/>
                <w:szCs w:val="22"/>
              </w:rPr>
              <w:t>—</w:t>
            </w:r>
          </w:p>
          <w:p w14:paraId="5AF26B9A" w14:textId="427060F5" w:rsidR="004156FE" w:rsidRPr="000F779A" w:rsidRDefault="004156FE" w:rsidP="004156FE">
            <w:pPr>
              <w:widowControl w:val="0"/>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Extension</w:t>
            </w:r>
            <w:r w:rsidRPr="000F779A">
              <w:rPr>
                <w:rFonts w:asciiTheme="minorHAnsi" w:eastAsia="Calibri" w:hAnsiTheme="minorHAnsi" w:cstheme="minorHAnsi"/>
                <w:i/>
                <w:iCs/>
                <w:sz w:val="22"/>
                <w:szCs w:val="22"/>
              </w:rPr>
              <w:t xml:space="preserve"> of timeframe on a request for service or item. </w:t>
            </w:r>
            <w:r w:rsidRPr="000F779A">
              <w:rPr>
                <w:rFonts w:asciiTheme="minorHAnsi" w:eastAsia="Calibri" w:hAnsiTheme="minorHAnsi" w:cstheme="minorHAnsi"/>
                <w:sz w:val="22"/>
                <w:szCs w:val="22"/>
              </w:rPr>
              <w:t xml:space="preserve">The MA organization may extend the timeframe by up to 14 calendar days under any </w:t>
            </w:r>
            <w:r w:rsidRPr="000F779A">
              <w:rPr>
                <w:rFonts w:asciiTheme="minorHAnsi" w:eastAsia="Calibri" w:hAnsiTheme="minorHAnsi" w:cstheme="minorHAnsi"/>
                <w:sz w:val="22"/>
                <w:szCs w:val="22"/>
              </w:rPr>
              <w:lastRenderedPageBreak/>
              <w:t>of the following circumstances:</w:t>
            </w:r>
          </w:p>
          <w:p w14:paraId="052DB081" w14:textId="5A37AA03"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The enrollee requests the extension.</w:t>
            </w:r>
          </w:p>
          <w:p w14:paraId="1ADA4222" w14:textId="101E24D6"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The extension is justified and in the enrollee’s interest due to the need for additional medical evidence from a noncontract provider that may change an MA organization’s decision to deny an item or service.</w:t>
            </w:r>
          </w:p>
          <w:p w14:paraId="1A9C8692" w14:textId="74636274"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The extension is justified due to extraordinary, exigent, or other nonroutine circumstances and is in the enrollee’s interest.</w:t>
            </w:r>
          </w:p>
          <w:p w14:paraId="1F2FF365" w14:textId="77777777" w:rsidR="004156FE" w:rsidRPr="000F779A" w:rsidRDefault="004156FE" w:rsidP="004156FE">
            <w:pPr>
              <w:widowControl w:val="0"/>
              <w:spacing w:before="40" w:after="40"/>
              <w:ind w:left="216"/>
              <w:rPr>
                <w:rFonts w:asciiTheme="minorHAnsi" w:eastAsia="Calibri" w:hAnsiTheme="minorHAnsi" w:cstheme="minorHAnsi"/>
                <w:i/>
                <w:iCs/>
                <w:sz w:val="22"/>
                <w:szCs w:val="22"/>
              </w:rPr>
            </w:pPr>
            <w:r w:rsidRPr="000F779A">
              <w:rPr>
                <w:rFonts w:asciiTheme="minorHAnsi" w:eastAsia="Calibri" w:hAnsiTheme="minorHAnsi" w:cstheme="minorHAnsi"/>
                <w:sz w:val="22"/>
                <w:szCs w:val="22"/>
              </w:rPr>
              <w:t>(ii) Notice</w:t>
            </w:r>
            <w:r w:rsidRPr="000F779A">
              <w:rPr>
                <w:rFonts w:asciiTheme="minorHAnsi" w:eastAsia="Calibri" w:hAnsiTheme="minorHAnsi" w:cstheme="minorHAnsi"/>
                <w:i/>
                <w:iCs/>
                <w:sz w:val="22"/>
                <w:szCs w:val="22"/>
              </w:rPr>
              <w:t xml:space="preserve"> of extension. </w:t>
            </w:r>
          </w:p>
          <w:p w14:paraId="51E73CDC" w14:textId="0DE54143"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When the MA organization extends the timeframe, it must—</w:t>
            </w:r>
          </w:p>
          <w:p w14:paraId="1022095A" w14:textId="1126192C"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Notify the enrollee in writing of the reasons for the delay; and</w:t>
            </w:r>
          </w:p>
          <w:p w14:paraId="5BCD59DD" w14:textId="2A305148"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Inform the enrollee of the right to file an expedited grievance if the enrollee disagrees with the MA organization’s decision to grant an extension.</w:t>
            </w:r>
          </w:p>
          <w:p w14:paraId="37509854" w14:textId="79EE46A9" w:rsidR="004156FE" w:rsidRPr="000F779A" w:rsidRDefault="004156FE" w:rsidP="004156FE">
            <w:pPr>
              <w:widowControl w:val="0"/>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The MA organization must notify the enrollee of its determination as expeditiously as the enrollee’s health condition requires, but no later than upon expiration of the extension.</w:t>
            </w:r>
          </w:p>
        </w:tc>
        <w:tc>
          <w:tcPr>
            <w:tcW w:w="4140" w:type="dxa"/>
            <w:shd w:val="clear" w:color="auto" w:fill="auto"/>
          </w:tcPr>
          <w:p w14:paraId="29F09EEA" w14:textId="4BB1323D" w:rsidR="004156FE" w:rsidRPr="000F779A" w:rsidRDefault="004156FE" w:rsidP="004156FE">
            <w:pPr>
              <w:widowControl w:val="0"/>
              <w:rPr>
                <w:rFonts w:asciiTheme="minorHAnsi" w:eastAsia="Calibri" w:hAnsiTheme="minorHAnsi" w:cstheme="minorHAnsi"/>
                <w:bCs/>
                <w:sz w:val="22"/>
                <w:szCs w:val="22"/>
              </w:rPr>
            </w:pPr>
            <w:r w:rsidRPr="000F779A">
              <w:rPr>
                <w:rFonts w:asciiTheme="minorHAnsi" w:eastAsia="Calibri" w:hAnsiTheme="minorHAnsi" w:cstheme="minorHAnsi"/>
                <w:bCs/>
                <w:sz w:val="22"/>
                <w:szCs w:val="22"/>
              </w:rPr>
              <w:lastRenderedPageBreak/>
              <w:t xml:space="preserve">Under the existing MA rules, a failure to meet the deadline by which an organization determination, including a request for prior authorization, constitutes a denial that can be appealed to the next level (reconsideration by the MA organization). See 42 CFR 422.568(f) and 422.631(d)(1)(ii). The MA program regulations (42 CFR 422.592 through 422.596 and 422.634) provide for review by an Independent Review Entity (IRE) after an MA organization’s adverse reconsidered organization determination, including where the MA organization fails to issue a reconsidered organization determination in a timely fashion. We did not propose, and are therefore not finalizing here, an </w:t>
            </w:r>
            <w:r w:rsidRPr="000F779A">
              <w:rPr>
                <w:rFonts w:asciiTheme="minorHAnsi" w:eastAsia="Calibri" w:hAnsiTheme="minorHAnsi" w:cstheme="minorHAnsi"/>
                <w:bCs/>
                <w:sz w:val="22"/>
                <w:szCs w:val="22"/>
              </w:rPr>
              <w:lastRenderedPageBreak/>
              <w:t>amendment to those rules to escalate prior authorization denials to the IRE.</w:t>
            </w:r>
          </w:p>
        </w:tc>
      </w:tr>
      <w:tr w:rsidR="004156FE" w:rsidRPr="000F779A" w14:paraId="2A841C2A" w14:textId="77777777" w:rsidTr="00213EE4">
        <w:trPr>
          <w:trHeight w:val="360"/>
        </w:trPr>
        <w:tc>
          <w:tcPr>
            <w:tcW w:w="2317" w:type="dxa"/>
            <w:shd w:val="clear" w:color="auto" w:fill="auto"/>
          </w:tcPr>
          <w:p w14:paraId="243851DE" w14:textId="2FF0A01A" w:rsidR="004156FE" w:rsidRPr="000F779A" w:rsidRDefault="004156FE" w:rsidP="004156FE">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Amend §422.570 by—</w:t>
            </w:r>
          </w:p>
          <w:p w14:paraId="40362C5E" w14:textId="2E827513"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In paragraph (d)(1) by removing the phrase ‘‘request to the standard timeframe and make the determination within the 72-hour or 14-day timeframe, as applicable, </w:t>
            </w:r>
            <w:r w:rsidRPr="000F779A">
              <w:rPr>
                <w:rFonts w:asciiTheme="minorHAnsi" w:eastAsia="Calibri" w:hAnsiTheme="minorHAnsi" w:cstheme="minorHAnsi"/>
                <w:sz w:val="22"/>
                <w:szCs w:val="22"/>
              </w:rPr>
              <w:lastRenderedPageBreak/>
              <w:t>established’’ and adding in its place the phrase ‘‘request to a standard organization determination and make the determination within the applicable timeframe, established’’.</w:t>
            </w:r>
          </w:p>
        </w:tc>
        <w:tc>
          <w:tcPr>
            <w:tcW w:w="7290" w:type="dxa"/>
            <w:shd w:val="clear" w:color="auto" w:fill="auto"/>
          </w:tcPr>
          <w:p w14:paraId="23EC970E" w14:textId="6921D4C8" w:rsidR="004156FE" w:rsidRPr="000F779A" w:rsidRDefault="004156FE" w:rsidP="004156FE">
            <w:pPr>
              <w:widowControl w:val="0"/>
              <w:rPr>
                <w:rFonts w:asciiTheme="minorHAnsi" w:eastAsia="Calibri" w:hAnsiTheme="minorHAnsi" w:cstheme="minorHAnsi"/>
                <w:i/>
                <w:iCs/>
                <w:sz w:val="22"/>
                <w:szCs w:val="22"/>
              </w:rPr>
            </w:pPr>
            <w:r w:rsidRPr="000F779A">
              <w:rPr>
                <w:rFonts w:asciiTheme="minorHAnsi" w:eastAsia="Calibri" w:hAnsiTheme="minorHAnsi" w:cstheme="minorHAnsi"/>
                <w:b/>
                <w:bCs/>
                <w:i/>
                <w:iCs/>
                <w:sz w:val="22"/>
                <w:szCs w:val="22"/>
              </w:rPr>
              <w:lastRenderedPageBreak/>
              <w:t>§422.570 Expediting certain organization determinations.</w:t>
            </w:r>
          </w:p>
          <w:p w14:paraId="7950D9C7" w14:textId="34B8BB10"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(d) </w:t>
            </w:r>
            <w:r w:rsidRPr="000F779A">
              <w:rPr>
                <w:rFonts w:asciiTheme="minorHAnsi" w:eastAsia="Calibri" w:hAnsiTheme="minorHAnsi" w:cstheme="minorHAnsi"/>
                <w:i/>
                <w:iCs/>
                <w:sz w:val="22"/>
                <w:szCs w:val="22"/>
              </w:rPr>
              <w:t>Actions following denial</w:t>
            </w:r>
            <w:r w:rsidRPr="000F779A">
              <w:rPr>
                <w:rFonts w:asciiTheme="minorHAnsi" w:eastAsia="Calibri" w:hAnsiTheme="minorHAnsi" w:cstheme="minorHAnsi"/>
                <w:sz w:val="22"/>
                <w:szCs w:val="22"/>
              </w:rPr>
              <w:t>. (1) Automatically transfer a request to a standard organization determination and make the determination within the applicable timeframe, established in §422.568 for a standard determination. The timeframe begins when the MA organization receives the request for expedited determination.</w:t>
            </w:r>
          </w:p>
        </w:tc>
        <w:tc>
          <w:tcPr>
            <w:tcW w:w="4140" w:type="dxa"/>
            <w:shd w:val="clear" w:color="auto" w:fill="auto"/>
          </w:tcPr>
          <w:p w14:paraId="2DBF9A02" w14:textId="77777777" w:rsidR="004156FE" w:rsidRPr="000F779A" w:rsidRDefault="004156FE" w:rsidP="004156FE">
            <w:pPr>
              <w:widowControl w:val="0"/>
              <w:rPr>
                <w:rFonts w:asciiTheme="minorHAnsi" w:eastAsia="Calibri" w:hAnsiTheme="minorHAnsi" w:cstheme="minorHAnsi"/>
                <w:bCs/>
                <w:sz w:val="22"/>
                <w:szCs w:val="22"/>
              </w:rPr>
            </w:pPr>
          </w:p>
        </w:tc>
      </w:tr>
      <w:tr w:rsidR="004156FE" w:rsidRPr="000F779A" w14:paraId="72429BDD" w14:textId="77777777" w:rsidTr="00213EE4">
        <w:trPr>
          <w:trHeight w:val="360"/>
        </w:trPr>
        <w:tc>
          <w:tcPr>
            <w:tcW w:w="2317" w:type="dxa"/>
            <w:shd w:val="clear" w:color="auto" w:fill="auto"/>
          </w:tcPr>
          <w:p w14:paraId="4E1AF1CC" w14:textId="2FA01371" w:rsidR="004156FE" w:rsidRPr="000F779A" w:rsidRDefault="004156FE" w:rsidP="004156FE">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Amend §422.631 by—</w:t>
            </w:r>
          </w:p>
          <w:p w14:paraId="68712972" w14:textId="77777777" w:rsidR="004156FE" w:rsidRPr="000F779A" w:rsidRDefault="004156FE" w:rsidP="004156FE">
            <w:pPr>
              <w:widowControl w:val="0"/>
              <w:rPr>
                <w:rFonts w:asciiTheme="minorHAnsi" w:eastAsia="Calibri" w:hAnsiTheme="minorHAnsi" w:cstheme="minorHAnsi"/>
                <w:b/>
                <w:bCs/>
                <w:i/>
                <w:iCs/>
                <w:sz w:val="22"/>
                <w:szCs w:val="22"/>
              </w:rPr>
            </w:pPr>
          </w:p>
          <w:p w14:paraId="326F9327" w14:textId="769511D9"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paragraphs:</w:t>
            </w:r>
          </w:p>
          <w:p w14:paraId="56BB1369" w14:textId="5E66CCDE" w:rsidR="004156FE" w:rsidRPr="000F779A" w:rsidRDefault="004156FE" w:rsidP="004156FE">
            <w:pPr>
              <w:pStyle w:val="ListParagraph"/>
              <w:widowControl w:val="0"/>
              <w:numPr>
                <w:ilvl w:val="0"/>
                <w:numId w:val="37"/>
              </w:numPr>
              <w:rPr>
                <w:rFonts w:asciiTheme="minorHAnsi" w:eastAsia="Calibri" w:hAnsiTheme="minorHAnsi" w:cstheme="minorHAnsi"/>
                <w:sz w:val="22"/>
                <w:szCs w:val="22"/>
              </w:rPr>
            </w:pPr>
            <w:r w:rsidRPr="000F779A">
              <w:rPr>
                <w:rFonts w:asciiTheme="minorHAnsi" w:eastAsia="Calibri" w:hAnsiTheme="minorHAnsi" w:cstheme="minorHAnsi"/>
                <w:sz w:val="22"/>
                <w:szCs w:val="22"/>
              </w:rPr>
              <w:t>(d)(2)(i)(B).</w:t>
            </w:r>
          </w:p>
          <w:p w14:paraId="6073EFD2" w14:textId="77777777" w:rsidR="004156FE" w:rsidRPr="000F779A" w:rsidRDefault="004156FE" w:rsidP="004156FE">
            <w:pPr>
              <w:pStyle w:val="ListParagraph"/>
              <w:widowControl w:val="0"/>
              <w:numPr>
                <w:ilvl w:val="0"/>
                <w:numId w:val="37"/>
              </w:numPr>
              <w:rPr>
                <w:rFonts w:asciiTheme="minorHAnsi" w:eastAsia="Calibri" w:hAnsiTheme="minorHAnsi" w:cstheme="minorHAnsi"/>
                <w:sz w:val="22"/>
                <w:szCs w:val="22"/>
              </w:rPr>
            </w:pPr>
            <w:r w:rsidRPr="000F779A">
              <w:rPr>
                <w:rFonts w:asciiTheme="minorHAnsi" w:eastAsia="Calibri" w:hAnsiTheme="minorHAnsi" w:cstheme="minorHAnsi"/>
                <w:sz w:val="22"/>
                <w:szCs w:val="22"/>
              </w:rPr>
              <w:t>(d)(2)(iv)(B)(</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w:t>
            </w:r>
          </w:p>
          <w:p w14:paraId="0CA7EF98" w14:textId="4201C978" w:rsidR="004156FE" w:rsidRPr="000F779A" w:rsidRDefault="004156FE" w:rsidP="004156FE">
            <w:pPr>
              <w:pStyle w:val="ListParagraph"/>
              <w:widowControl w:val="0"/>
              <w:numPr>
                <w:ilvl w:val="0"/>
                <w:numId w:val="37"/>
              </w:numPr>
              <w:rPr>
                <w:rFonts w:asciiTheme="minorHAnsi" w:eastAsia="Calibri" w:hAnsiTheme="minorHAnsi" w:cstheme="minorHAnsi"/>
                <w:sz w:val="22"/>
                <w:szCs w:val="22"/>
              </w:rPr>
            </w:pPr>
            <w:r w:rsidRPr="000F779A">
              <w:rPr>
                <w:rFonts w:asciiTheme="minorHAnsi" w:eastAsia="Calibri" w:hAnsiTheme="minorHAnsi" w:cstheme="minorHAnsi"/>
                <w:sz w:val="22"/>
                <w:szCs w:val="22"/>
              </w:rPr>
              <w:t>(d)(2)(iv)(B)(</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i</w:t>
            </w:r>
            <w:r w:rsidRPr="000F779A">
              <w:rPr>
                <w:rFonts w:asciiTheme="minorHAnsi" w:eastAsia="Calibri" w:hAnsiTheme="minorHAnsi" w:cstheme="minorHAnsi"/>
                <w:sz w:val="22"/>
                <w:szCs w:val="22"/>
              </w:rPr>
              <w:t>)</w:t>
            </w:r>
          </w:p>
          <w:p w14:paraId="0638D564" w14:textId="77777777" w:rsidR="004156FE" w:rsidRPr="000F779A" w:rsidRDefault="004156FE" w:rsidP="004156FE">
            <w:pPr>
              <w:widowControl w:val="0"/>
              <w:rPr>
                <w:rFonts w:asciiTheme="minorHAnsi" w:eastAsia="Calibri" w:hAnsiTheme="minorHAnsi" w:cstheme="minorHAnsi"/>
                <w:b/>
                <w:bCs/>
                <w:i/>
                <w:iCs/>
                <w:sz w:val="22"/>
                <w:szCs w:val="22"/>
              </w:rPr>
            </w:pPr>
          </w:p>
        </w:tc>
        <w:tc>
          <w:tcPr>
            <w:tcW w:w="7290" w:type="dxa"/>
            <w:shd w:val="clear" w:color="auto" w:fill="auto"/>
          </w:tcPr>
          <w:p w14:paraId="67728770" w14:textId="77777777" w:rsidR="004156FE" w:rsidRPr="000F779A" w:rsidRDefault="004156FE" w:rsidP="004156FE">
            <w:pPr>
              <w:widowControl w:val="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§422.631 Integrated organization determinations.</w:t>
            </w:r>
          </w:p>
          <w:p w14:paraId="71EE1644" w14:textId="51ABA335"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(d)(2)(i)(A)</w:t>
            </w:r>
            <w:r w:rsidRPr="000F779A">
              <w:rPr>
                <w:rFonts w:asciiTheme="minorHAnsi" w:eastAsia="Calibri" w:hAnsiTheme="minorHAnsi" w:cstheme="minorHAnsi"/>
                <w:sz w:val="22"/>
                <w:szCs w:val="22"/>
              </w:rPr>
              <w:t> The applicable integrated plan must send a notice of its integrated organization determination at least 10 days before the date of action (that is, before the date on which a termination, suspension, or reduction becomes effective), in cases where a previously approved service is being reduced, suspended, or terminated, except in circumstances where an exception is permitted under §431.213 and §431.214 of this chapter.</w:t>
            </w:r>
          </w:p>
          <w:p w14:paraId="2FE292EA" w14:textId="101E3543"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(d)(2)(i)(B)</w:t>
            </w:r>
            <w:r w:rsidRPr="000F779A">
              <w:rPr>
                <w:rFonts w:asciiTheme="minorHAnsi" w:eastAsia="Calibri" w:hAnsiTheme="minorHAnsi" w:cstheme="minorHAnsi"/>
                <w:sz w:val="22"/>
                <w:szCs w:val="22"/>
              </w:rPr>
              <w:t xml:space="preserve"> Except as described in paragraph (d)(2)(i)(A) of this section, the</w:t>
            </w:r>
          </w:p>
          <w:p w14:paraId="31A98AFD" w14:textId="7E297AFF"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applicable integrated plan must send a notice of its integrated organization determination as expeditiously as the enrollee’s health condition requires but no later than either of the following:</w:t>
            </w:r>
          </w:p>
          <w:p w14:paraId="15B7E675" w14:textId="48DA7E8E"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For a service or item not subject to the prior authorization rules in §422.122, 14 calendar days after receiving the request for the standard integrated organization determination.</w:t>
            </w:r>
          </w:p>
          <w:p w14:paraId="787F22CC" w14:textId="4BA5A5AD"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Beginning on or after January 1, 2026, for a service or item subject to the prior authorization rules in §422.122, 7 calendar days after receiving the  request for the standard integrated organization determination.</w:t>
            </w:r>
          </w:p>
          <w:p w14:paraId="434A7BFC" w14:textId="3393898D"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(iv)(B)</w:t>
            </w:r>
          </w:p>
          <w:p w14:paraId="2AB4EBF8" w14:textId="00553A7B"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Automatically transfer a request to the standard timeframe and make the determination within the applicable timeframe established in paragraph (d)(2)(i)(B) of this section for a standard integrated organization determination.</w:t>
            </w:r>
          </w:p>
          <w:p w14:paraId="6535B330" w14:textId="069426FE"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The timeframe begins the day the applicable integrated plan receives the request for expedited integrated organization determination.</w:t>
            </w:r>
          </w:p>
          <w:p w14:paraId="4D5F00FF" w14:textId="208EDFD9" w:rsidR="004156FE" w:rsidRPr="000F779A" w:rsidRDefault="004156FE" w:rsidP="004156FE">
            <w:pPr>
              <w:widowControl w:val="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i</w:t>
            </w:r>
            <w:r w:rsidRPr="000F779A">
              <w:rPr>
                <w:rFonts w:asciiTheme="minorHAnsi" w:eastAsia="Calibri" w:hAnsiTheme="minorHAnsi" w:cstheme="minorHAnsi"/>
                <w:sz w:val="22"/>
                <w:szCs w:val="22"/>
              </w:rPr>
              <w:t>) Explains that the applicable integrated plan will process the request using the timeframe for standard integrated organization determinations.</w:t>
            </w:r>
          </w:p>
        </w:tc>
        <w:tc>
          <w:tcPr>
            <w:tcW w:w="4140" w:type="dxa"/>
            <w:shd w:val="clear" w:color="auto" w:fill="auto"/>
          </w:tcPr>
          <w:p w14:paraId="50B6074B" w14:textId="77777777" w:rsidR="004156FE" w:rsidRPr="000F779A" w:rsidRDefault="004156FE" w:rsidP="004156FE">
            <w:pPr>
              <w:widowControl w:val="0"/>
              <w:rPr>
                <w:rFonts w:asciiTheme="minorHAnsi" w:eastAsia="Calibri" w:hAnsiTheme="minorHAnsi" w:cstheme="minorHAnsi"/>
                <w:bCs/>
                <w:sz w:val="22"/>
                <w:szCs w:val="22"/>
              </w:rPr>
            </w:pPr>
          </w:p>
        </w:tc>
      </w:tr>
    </w:tbl>
    <w:p w14:paraId="4724671C" w14:textId="77777777" w:rsidR="00BA3EDA" w:rsidRPr="000F779A" w:rsidRDefault="00BA3EDA" w:rsidP="00534514">
      <w:pPr>
        <w:rPr>
          <w:rFonts w:asciiTheme="minorHAnsi" w:hAnsiTheme="minorHAnsi" w:cstheme="minorHAnsi"/>
          <w:sz w:val="18"/>
          <w:szCs w:val="18"/>
        </w:rPr>
      </w:pPr>
    </w:p>
    <w:p w14:paraId="774C8FF7" w14:textId="77777777" w:rsidR="00BA3EDA" w:rsidRPr="000F779A" w:rsidRDefault="00BA3EDA" w:rsidP="00534514">
      <w:pPr>
        <w:rPr>
          <w:rFonts w:asciiTheme="minorHAnsi" w:hAnsiTheme="minorHAnsi" w:cstheme="minorHAnsi"/>
          <w:sz w:val="18"/>
          <w:szCs w:val="18"/>
        </w:rPr>
      </w:pPr>
    </w:p>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7290"/>
        <w:gridCol w:w="4140"/>
      </w:tblGrid>
      <w:tr w:rsidR="004C5F10" w:rsidRPr="000F779A" w14:paraId="24A109CC" w14:textId="77777777" w:rsidTr="00F02546">
        <w:trPr>
          <w:trHeight w:val="360"/>
          <w:tblHeader/>
        </w:trPr>
        <w:tc>
          <w:tcPr>
            <w:tcW w:w="13747" w:type="dxa"/>
            <w:gridSpan w:val="3"/>
            <w:shd w:val="clear" w:color="auto" w:fill="4472C4" w:themeFill="accent1"/>
            <w:vAlign w:val="center"/>
          </w:tcPr>
          <w:p w14:paraId="1E00ED6C" w14:textId="0F19D2F9" w:rsidR="004C5F10" w:rsidRPr="000F779A" w:rsidRDefault="004C5F10" w:rsidP="00256A25">
            <w:pPr>
              <w:jc w:val="center"/>
              <w:rPr>
                <w:rFonts w:asciiTheme="minorHAnsi" w:eastAsia="Calibri" w:hAnsiTheme="minorHAnsi" w:cstheme="minorHAnsi"/>
                <w:b/>
                <w:color w:val="FFFFFF" w:themeColor="background1"/>
                <w:sz w:val="22"/>
                <w:szCs w:val="22"/>
              </w:rPr>
            </w:pPr>
            <w:r w:rsidRPr="000F779A">
              <w:rPr>
                <w:rFonts w:asciiTheme="minorHAnsi" w:eastAsia="Calibri" w:hAnsiTheme="minorHAnsi" w:cstheme="minorHAnsi"/>
                <w:b/>
                <w:color w:val="FFFFFF" w:themeColor="background1"/>
                <w:sz w:val="22"/>
                <w:szCs w:val="22"/>
              </w:rPr>
              <w:t>Changes/</w:t>
            </w:r>
            <w:r w:rsidR="002635DC" w:rsidRPr="000F779A">
              <w:rPr>
                <w:rFonts w:asciiTheme="minorHAnsi" w:eastAsia="Calibri" w:hAnsiTheme="minorHAnsi" w:cstheme="minorHAnsi"/>
                <w:b/>
                <w:color w:val="FFFFFF" w:themeColor="background1"/>
                <w:sz w:val="22"/>
                <w:szCs w:val="22"/>
              </w:rPr>
              <w:t>Potenti</w:t>
            </w:r>
            <w:r w:rsidR="003C2A60" w:rsidRPr="000F779A">
              <w:rPr>
                <w:rFonts w:asciiTheme="minorHAnsi" w:eastAsia="Calibri" w:hAnsiTheme="minorHAnsi" w:cstheme="minorHAnsi"/>
                <w:b/>
                <w:color w:val="FFFFFF" w:themeColor="background1"/>
                <w:sz w:val="22"/>
                <w:szCs w:val="22"/>
              </w:rPr>
              <w:t>al Impact</w:t>
            </w:r>
            <w:r w:rsidR="00764EBD" w:rsidRPr="000F779A">
              <w:rPr>
                <w:rFonts w:asciiTheme="minorHAnsi" w:eastAsia="Calibri" w:hAnsiTheme="minorHAnsi" w:cstheme="minorHAnsi"/>
                <w:b/>
                <w:color w:val="FFFFFF" w:themeColor="background1"/>
                <w:sz w:val="22"/>
                <w:szCs w:val="22"/>
              </w:rPr>
              <w:t>—As Finalized</w:t>
            </w:r>
          </w:p>
        </w:tc>
      </w:tr>
      <w:tr w:rsidR="004C5F10" w:rsidRPr="000F779A" w14:paraId="488F5037" w14:textId="77777777" w:rsidTr="00F02546">
        <w:trPr>
          <w:trHeight w:val="360"/>
          <w:tblHeader/>
        </w:trPr>
        <w:tc>
          <w:tcPr>
            <w:tcW w:w="13747" w:type="dxa"/>
            <w:gridSpan w:val="3"/>
            <w:shd w:val="clear" w:color="auto" w:fill="FFC000" w:themeFill="accent4"/>
            <w:vAlign w:val="center"/>
          </w:tcPr>
          <w:p w14:paraId="5101AE7A" w14:textId="41C86E5B" w:rsidR="004C5F10" w:rsidRPr="000F779A" w:rsidRDefault="004C5F10" w:rsidP="00AC5E41">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 xml:space="preserve">Changes Related to </w:t>
            </w:r>
            <w:r w:rsidR="007628C8" w:rsidRPr="000F779A">
              <w:rPr>
                <w:rFonts w:asciiTheme="minorHAnsi" w:eastAsia="Calibri" w:hAnsiTheme="minorHAnsi" w:cstheme="minorHAnsi"/>
                <w:b/>
                <w:sz w:val="22"/>
                <w:szCs w:val="22"/>
              </w:rPr>
              <w:t>Part 431—</w:t>
            </w:r>
            <w:r w:rsidR="00E95A73" w:rsidRPr="000F779A">
              <w:rPr>
                <w:rFonts w:asciiTheme="minorHAnsi" w:eastAsia="Calibri" w:hAnsiTheme="minorHAnsi" w:cstheme="minorHAnsi"/>
                <w:b/>
                <w:sz w:val="22"/>
                <w:szCs w:val="22"/>
              </w:rPr>
              <w:t>S</w:t>
            </w:r>
            <w:r w:rsidR="00D20C60" w:rsidRPr="000F779A">
              <w:rPr>
                <w:rFonts w:asciiTheme="minorHAnsi" w:eastAsia="Calibri" w:hAnsiTheme="minorHAnsi" w:cstheme="minorHAnsi"/>
                <w:b/>
                <w:sz w:val="22"/>
                <w:szCs w:val="22"/>
              </w:rPr>
              <w:t>tate</w:t>
            </w:r>
            <w:r w:rsidR="007628C8" w:rsidRPr="000F779A">
              <w:rPr>
                <w:rFonts w:asciiTheme="minorHAnsi" w:eastAsia="Calibri" w:hAnsiTheme="minorHAnsi" w:cstheme="minorHAnsi"/>
                <w:b/>
                <w:sz w:val="22"/>
                <w:szCs w:val="22"/>
              </w:rPr>
              <w:t xml:space="preserve"> Organizational and General Administration</w:t>
            </w:r>
          </w:p>
        </w:tc>
      </w:tr>
      <w:tr w:rsidR="007B22E9" w:rsidRPr="000F779A" w14:paraId="2954FAF5" w14:textId="77777777" w:rsidTr="00F02546">
        <w:trPr>
          <w:trHeight w:val="360"/>
          <w:tblHeader/>
        </w:trPr>
        <w:tc>
          <w:tcPr>
            <w:tcW w:w="2317" w:type="dxa"/>
            <w:shd w:val="clear" w:color="auto" w:fill="DEEAF6" w:themeFill="accent5" w:themeFillTint="33"/>
            <w:vAlign w:val="center"/>
          </w:tcPr>
          <w:p w14:paraId="3D053C47" w14:textId="0F91FCF0" w:rsidR="007B22E9" w:rsidRPr="000F779A" w:rsidRDefault="007B22E9" w:rsidP="00FD1CFD">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Change and Applicability Dates</w:t>
            </w:r>
          </w:p>
        </w:tc>
        <w:tc>
          <w:tcPr>
            <w:tcW w:w="7290" w:type="dxa"/>
            <w:shd w:val="clear" w:color="auto" w:fill="DEEAF6" w:themeFill="accent5" w:themeFillTint="33"/>
            <w:vAlign w:val="center"/>
          </w:tcPr>
          <w:p w14:paraId="0CE631A9" w14:textId="5653D5A4" w:rsidR="007B22E9" w:rsidRPr="000F779A" w:rsidRDefault="007B22E9" w:rsidP="00FD1CFD">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 xml:space="preserve">Regulation Language (Revisions and Additions Only </w:t>
            </w:r>
          </w:p>
        </w:tc>
        <w:tc>
          <w:tcPr>
            <w:tcW w:w="4140" w:type="dxa"/>
            <w:shd w:val="clear" w:color="auto" w:fill="DEEAF6" w:themeFill="accent5" w:themeFillTint="33"/>
            <w:vAlign w:val="center"/>
          </w:tcPr>
          <w:p w14:paraId="3CDA9A0F" w14:textId="5E4E3E4C" w:rsidR="007B22E9" w:rsidRPr="000F779A" w:rsidRDefault="007B22E9" w:rsidP="00FD1CFD">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CMS Discussion Highlights</w:t>
            </w:r>
          </w:p>
        </w:tc>
      </w:tr>
      <w:tr w:rsidR="007B22E9" w:rsidRPr="000F779A" w14:paraId="738B42E7" w14:textId="77777777" w:rsidTr="00F02546">
        <w:tc>
          <w:tcPr>
            <w:tcW w:w="2317" w:type="dxa"/>
            <w:shd w:val="clear" w:color="auto" w:fill="auto"/>
          </w:tcPr>
          <w:p w14:paraId="7443CA75" w14:textId="29175FF7" w:rsidR="007B22E9" w:rsidRPr="000F779A" w:rsidRDefault="007B22E9" w:rsidP="002107B8">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Amend §431.60 by—</w:t>
            </w:r>
          </w:p>
          <w:p w14:paraId="2F04D2D1" w14:textId="2CB07CDD" w:rsidR="007B22E9" w:rsidRPr="000F779A" w:rsidRDefault="007B22E9" w:rsidP="009C143D">
            <w:pPr>
              <w:pStyle w:val="ListParagraph"/>
              <w:numPr>
                <w:ilvl w:val="0"/>
                <w:numId w:val="19"/>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 (b)(3).</w:t>
            </w:r>
          </w:p>
          <w:p w14:paraId="671878C3" w14:textId="2FAA1FBA" w:rsidR="007B22E9" w:rsidRPr="000F779A" w:rsidRDefault="007B22E9" w:rsidP="00883D16">
            <w:pPr>
              <w:pStyle w:val="ListParagraph"/>
              <w:numPr>
                <w:ilvl w:val="0"/>
                <w:numId w:val="19"/>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Adding paragraphs (b)(5) and (6).</w:t>
            </w:r>
          </w:p>
          <w:p w14:paraId="43374364" w14:textId="2474647B" w:rsidR="007B22E9" w:rsidRPr="000F779A" w:rsidRDefault="007B22E9" w:rsidP="009C143D">
            <w:pPr>
              <w:pStyle w:val="ListParagraph"/>
              <w:numPr>
                <w:ilvl w:val="0"/>
                <w:numId w:val="19"/>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paragraphs (c)(1), (c)(4)(ii)(C), and (e)(2).</w:t>
            </w:r>
          </w:p>
          <w:p w14:paraId="3A21308A" w14:textId="3ED586DC" w:rsidR="007B22E9" w:rsidRPr="000F779A" w:rsidRDefault="007B22E9" w:rsidP="00883D16">
            <w:pPr>
              <w:pStyle w:val="ListParagraph"/>
              <w:numPr>
                <w:ilvl w:val="0"/>
                <w:numId w:val="19"/>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Removing paragraph (g).</w:t>
            </w:r>
          </w:p>
          <w:p w14:paraId="64AF5FB7" w14:textId="4E991F9E" w:rsidR="007B22E9" w:rsidRPr="000F779A" w:rsidRDefault="007B22E9" w:rsidP="00883D16">
            <w:pPr>
              <w:pStyle w:val="ListParagraph"/>
              <w:numPr>
                <w:ilvl w:val="0"/>
                <w:numId w:val="19"/>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Redesignating paragraph (f) as paragraph (g).</w:t>
            </w:r>
          </w:p>
          <w:p w14:paraId="2CB5C7D5" w14:textId="14476D61" w:rsidR="007B22E9" w:rsidRPr="000F779A" w:rsidRDefault="007B22E9" w:rsidP="002107B8">
            <w:pPr>
              <w:pStyle w:val="ListParagraph"/>
              <w:numPr>
                <w:ilvl w:val="0"/>
                <w:numId w:val="19"/>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Adding new paragraph (f) and paragraph (h—applicability).</w:t>
            </w:r>
          </w:p>
          <w:p w14:paraId="2597C943" w14:textId="77777777" w:rsidR="007B22E9" w:rsidRPr="000F779A" w:rsidRDefault="007B22E9" w:rsidP="00BF2FA7">
            <w:pPr>
              <w:spacing w:before="40" w:after="40"/>
              <w:rPr>
                <w:rFonts w:asciiTheme="minorHAnsi" w:eastAsia="Calibri" w:hAnsiTheme="minorHAnsi" w:cstheme="minorHAnsi"/>
                <w:sz w:val="22"/>
                <w:szCs w:val="22"/>
              </w:rPr>
            </w:pPr>
          </w:p>
          <w:p w14:paraId="0DAC06E4" w14:textId="77777777" w:rsidR="007B22E9" w:rsidRPr="000F779A" w:rsidRDefault="007B22E9" w:rsidP="00BF2FA7">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46D018EF" w14:textId="22B0F9BF" w:rsidR="007B22E9" w:rsidRPr="000F779A" w:rsidRDefault="007B22E9" w:rsidP="00642C02">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comply with the requirements in paragraphs (a) through (e) and (g) of this section beginning January 1, 2021, and with the requirements in paragraph (f) of this section beginning in 2026, with regard to data:</w:t>
            </w:r>
          </w:p>
          <w:p w14:paraId="57FA07A1" w14:textId="6DC33564" w:rsidR="007B22E9" w:rsidRPr="000F779A" w:rsidRDefault="007B22E9" w:rsidP="00642C02">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(1) With a date of service on or after January 1, 2016; and</w:t>
            </w:r>
          </w:p>
          <w:p w14:paraId="6498C6E8" w14:textId="4BFF0316" w:rsidR="007B22E9" w:rsidRPr="000F779A" w:rsidRDefault="007B22E9" w:rsidP="00642C02">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(2) That are maintained by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w:t>
            </w:r>
          </w:p>
        </w:tc>
        <w:tc>
          <w:tcPr>
            <w:tcW w:w="7290" w:type="dxa"/>
            <w:shd w:val="clear" w:color="auto" w:fill="auto"/>
          </w:tcPr>
          <w:p w14:paraId="3D9C60BE" w14:textId="49B46870" w:rsidR="007B22E9" w:rsidRPr="000F779A" w:rsidRDefault="007B22E9" w:rsidP="00292672">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§431.60 Beneficiary access to and exchange of data.</w:t>
            </w:r>
          </w:p>
          <w:p w14:paraId="03005C2D" w14:textId="086FD098" w:rsidR="007B22E9" w:rsidRPr="000F779A" w:rsidRDefault="007B22E9" w:rsidP="00D31A17">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(b)(3)</w:t>
            </w:r>
            <w:r w:rsidRPr="000F779A">
              <w:rPr>
                <w:rFonts w:asciiTheme="minorHAnsi" w:eastAsia="Calibri" w:hAnsiTheme="minorHAnsi" w:cstheme="minorHAnsi"/>
                <w:sz w:val="22"/>
                <w:szCs w:val="22"/>
              </w:rPr>
              <w:t xml:space="preserve"> All data classes and data elements included in a content standard in 45 CFR 170.213 that are maintained by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no later than 1 business day after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receives the data.</w:t>
            </w:r>
          </w:p>
          <w:p w14:paraId="51732921" w14:textId="5241FBC2" w:rsidR="007B22E9" w:rsidRPr="000F779A" w:rsidRDefault="007B22E9" w:rsidP="00FF0386">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(b)(5)</w:t>
            </w:r>
            <w:r w:rsidRPr="000F779A">
              <w:rPr>
                <w:rFonts w:asciiTheme="minorHAnsi" w:eastAsia="Calibri" w:hAnsiTheme="minorHAnsi" w:cstheme="minorHAnsi"/>
                <w:sz w:val="22"/>
                <w:szCs w:val="22"/>
              </w:rPr>
              <w:t xml:space="preserve"> Beginning January 1, 2027, the information in paragraph (b)(5)(i) of this section about prior authorizations for items and services (excluding drugs as defined in paragraph (b)(6) of this section), according to the timelines in paragraph (b)(5)(ii) of this section.</w:t>
            </w:r>
          </w:p>
          <w:p w14:paraId="7E865129" w14:textId="4C5840CF" w:rsidR="007B22E9" w:rsidRPr="000F779A" w:rsidRDefault="007B22E9" w:rsidP="00AE3A45">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The prior authorization request and decision, including all of the following, as applicable:</w:t>
            </w:r>
          </w:p>
          <w:p w14:paraId="01E48C8E" w14:textId="77777777" w:rsidR="007B22E9" w:rsidRPr="000F779A" w:rsidRDefault="007B22E9" w:rsidP="00AE3A45">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The prior authorization status.</w:t>
            </w:r>
          </w:p>
          <w:p w14:paraId="2F76FB78" w14:textId="1E12871C" w:rsidR="007B22E9" w:rsidRPr="000F779A" w:rsidRDefault="007B22E9" w:rsidP="00AE3A45">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The date the prior authorization was approved or denied.</w:t>
            </w:r>
          </w:p>
          <w:p w14:paraId="66982B4D" w14:textId="1BF58C8C" w:rsidR="007B22E9" w:rsidRPr="000F779A" w:rsidRDefault="007B22E9" w:rsidP="00AE3A45">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(C) The date or circumstance under which the prior authorization ends.</w:t>
            </w:r>
          </w:p>
          <w:p w14:paraId="76C20EE0" w14:textId="77777777" w:rsidR="007B22E9" w:rsidRPr="000F779A" w:rsidRDefault="007B22E9" w:rsidP="00AE3A45">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(D) The items and services approved.</w:t>
            </w:r>
          </w:p>
          <w:p w14:paraId="57276307" w14:textId="7568E114" w:rsidR="007B22E9" w:rsidRPr="000F779A" w:rsidRDefault="007B22E9" w:rsidP="00AE3A45">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(E) If denied, a specific reason why the request was denied.</w:t>
            </w:r>
          </w:p>
          <w:p w14:paraId="04344A32" w14:textId="6B851F8C" w:rsidR="007B22E9" w:rsidRPr="000F779A" w:rsidRDefault="007B22E9" w:rsidP="00AE3A45">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(F) Related structured administrative and clinical documentation submitted by a provider.</w:t>
            </w:r>
          </w:p>
          <w:p w14:paraId="0E434E53" w14:textId="023E9807" w:rsidR="007B22E9" w:rsidRPr="000F779A" w:rsidRDefault="007B22E9" w:rsidP="00AE3A45">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information in paragraph (b)(5)(i) of this section must—</w:t>
            </w:r>
          </w:p>
          <w:p w14:paraId="6F407F0E" w14:textId="180B1A22" w:rsidR="007B22E9" w:rsidRPr="000F779A" w:rsidRDefault="007B22E9" w:rsidP="006B4D9C">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Be accessible no later than 1 business day after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receives a prior authorization request.</w:t>
            </w:r>
          </w:p>
          <w:p w14:paraId="658E4190" w14:textId="77777777" w:rsidR="007B22E9" w:rsidRPr="000F779A" w:rsidRDefault="007B22E9" w:rsidP="00837F61">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Be updated no later than 1 business day after any status change.</w:t>
            </w:r>
          </w:p>
          <w:p w14:paraId="799FAA22" w14:textId="77777777" w:rsidR="007B22E9" w:rsidRPr="000F779A" w:rsidRDefault="007B22E9" w:rsidP="00837F61">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Continue to be accessible for the duration that the authorization is active and at least 1 year after the prior authorization’s last status change.</w:t>
            </w:r>
          </w:p>
          <w:p w14:paraId="74CBE6CD" w14:textId="0CB78AD0" w:rsidR="007B22E9" w:rsidRPr="000F779A" w:rsidRDefault="007B22E9" w:rsidP="008A1CE4">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(b)(6)</w:t>
            </w:r>
            <w:r w:rsidRPr="000F779A">
              <w:rPr>
                <w:rFonts w:asciiTheme="minorHAnsi" w:eastAsia="Calibri" w:hAnsiTheme="minorHAnsi" w:cstheme="minorHAnsi"/>
                <w:sz w:val="22"/>
                <w:szCs w:val="22"/>
              </w:rPr>
              <w:t xml:space="preserve"> Drugs are defined for the purposes of paragraph (b)(5) of this section as any and all drugs covered by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w:t>
            </w:r>
          </w:p>
          <w:p w14:paraId="76D9E389" w14:textId="5EF54ADE" w:rsidR="007B22E9" w:rsidRPr="000F779A" w:rsidRDefault="007B22E9" w:rsidP="000C5B73">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(c)(1)</w:t>
            </w:r>
            <w:r w:rsidRPr="000F779A">
              <w:rPr>
                <w:rFonts w:asciiTheme="minorHAnsi" w:eastAsia="Calibri" w:hAnsiTheme="minorHAnsi" w:cstheme="minorHAnsi"/>
                <w:sz w:val="22"/>
                <w:szCs w:val="22"/>
              </w:rPr>
              <w:t xml:space="preserve"> Must implement and maintain application programming interface (API) technology conformant with 45 CFR 170.215(a)(1), (b)(1)(i), (c)(1), and (e)(1).</w:t>
            </w:r>
          </w:p>
          <w:p w14:paraId="2D7628C0" w14:textId="77777777" w:rsidR="007B22E9" w:rsidRPr="000F779A" w:rsidRDefault="007B22E9" w:rsidP="002765DB">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(c)(4)(ii)(C)</w:t>
            </w:r>
            <w:r w:rsidRPr="000F779A">
              <w:rPr>
                <w:rFonts w:asciiTheme="minorHAnsi" w:eastAsia="Calibri" w:hAnsiTheme="minorHAnsi" w:cstheme="minorHAnsi"/>
                <w:sz w:val="22"/>
                <w:szCs w:val="22"/>
              </w:rPr>
              <w:t xml:space="preserve"> Using the updated version of the standard, implementation guide, or specification does not disrupt an end user’s ability to access the data specified in paragraph (b) of this section or §431.61, §431.70, and §431.80, through the required APIs.</w:t>
            </w:r>
          </w:p>
          <w:p w14:paraId="3EE86FE5" w14:textId="77777777" w:rsidR="007B22E9" w:rsidRPr="000F779A" w:rsidRDefault="007B22E9" w:rsidP="00E23AEE">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(e)(2)</w:t>
            </w:r>
            <w:r w:rsidRPr="000F779A">
              <w:rPr>
                <w:rFonts w:asciiTheme="minorHAnsi" w:eastAsia="Calibri" w:hAnsiTheme="minorHAnsi" w:cstheme="minorHAnsi"/>
                <w:sz w:val="22"/>
                <w:szCs w:val="22"/>
              </w:rPr>
              <w:t xml:space="preserve"> Makes this determination using objective, verifiable criteria that are applied fairly and consistently across all apps and developers through which parties seek to access electronic health information, as defined in 45 CFR 171.102, including but not limited to criteria that rely on automated monitoring and risk mitigation tools.</w:t>
            </w:r>
          </w:p>
          <w:p w14:paraId="5B844FD9" w14:textId="6A7E2821" w:rsidR="007B22E9" w:rsidRPr="000F779A" w:rsidRDefault="007B22E9" w:rsidP="00E63D96">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(f)</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Reporting on Patient Access API usage. </w:t>
            </w:r>
            <w:r w:rsidRPr="000F779A">
              <w:rPr>
                <w:rFonts w:asciiTheme="minorHAnsi" w:eastAsia="Calibri" w:hAnsiTheme="minorHAnsi" w:cstheme="minorHAnsi"/>
                <w:sz w:val="22"/>
                <w:szCs w:val="22"/>
              </w:rPr>
              <w:t xml:space="preserve">Beginning in 2026, by March 31 of each year,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report to CMS the following metrics, in the form of </w:t>
            </w:r>
            <w:r w:rsidRPr="000F779A">
              <w:rPr>
                <w:rFonts w:asciiTheme="minorHAnsi" w:eastAsia="Calibri" w:hAnsiTheme="minorHAnsi" w:cstheme="minorHAnsi"/>
                <w:sz w:val="22"/>
                <w:szCs w:val="22"/>
              </w:rPr>
              <w:lastRenderedPageBreak/>
              <w:t xml:space="preserve">aggregated, de-identified data, for the previous calendar year at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level in the form and manner specified by the Secretary:</w:t>
            </w:r>
          </w:p>
          <w:p w14:paraId="71154622" w14:textId="3D04085A" w:rsidR="007B22E9" w:rsidRPr="000F779A" w:rsidRDefault="007B22E9" w:rsidP="00E63D96">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(f)(1)</w:t>
            </w:r>
            <w:r w:rsidRPr="000F779A">
              <w:rPr>
                <w:rFonts w:asciiTheme="minorHAnsi" w:eastAsia="Calibri" w:hAnsiTheme="minorHAnsi" w:cstheme="minorHAnsi"/>
                <w:sz w:val="22"/>
                <w:szCs w:val="22"/>
              </w:rPr>
              <w:t xml:space="preserve"> The total number of unique beneficiaries whose data are transferred via the Patient Access API to a health app designated by the beneficiary.</w:t>
            </w:r>
          </w:p>
          <w:p w14:paraId="3FDAA82B" w14:textId="117D6BB8" w:rsidR="007B22E9" w:rsidRPr="000F779A" w:rsidRDefault="007B22E9" w:rsidP="00BB64B8">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(f)(2)</w:t>
            </w:r>
            <w:r w:rsidRPr="000F779A">
              <w:rPr>
                <w:rFonts w:asciiTheme="minorHAnsi" w:eastAsia="Calibri" w:hAnsiTheme="minorHAnsi" w:cstheme="minorHAnsi"/>
                <w:sz w:val="22"/>
                <w:szCs w:val="22"/>
              </w:rPr>
              <w:t xml:space="preserve"> The total number of unique beneficiaries whose data are transferred more than once via the Patient Access API to a health app designated by the beneficiary.</w:t>
            </w:r>
          </w:p>
        </w:tc>
        <w:tc>
          <w:tcPr>
            <w:tcW w:w="4140" w:type="dxa"/>
            <w:shd w:val="clear" w:color="auto" w:fill="auto"/>
          </w:tcPr>
          <w:p w14:paraId="093FE376" w14:textId="40150AD4" w:rsidR="00E147C3" w:rsidRPr="000F779A" w:rsidRDefault="00E147C3" w:rsidP="007C459F">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The initial rule required </w:t>
            </w:r>
            <w:r w:rsidR="003A4978" w:rsidRPr="000F779A">
              <w:rPr>
                <w:rFonts w:asciiTheme="minorHAnsi" w:eastAsia="Calibri" w:hAnsiTheme="minorHAnsi" w:cstheme="minorHAnsi"/>
                <w:sz w:val="22"/>
                <w:szCs w:val="22"/>
              </w:rPr>
              <w:t xml:space="preserve">that </w:t>
            </w:r>
            <w:r w:rsidR="00B70E42" w:rsidRPr="000F779A">
              <w:rPr>
                <w:rFonts w:asciiTheme="minorHAnsi" w:eastAsia="Calibri" w:hAnsiTheme="minorHAnsi" w:cstheme="minorHAnsi"/>
                <w:sz w:val="22"/>
                <w:szCs w:val="22"/>
              </w:rPr>
              <w:t>P</w:t>
            </w:r>
            <w:r w:rsidRPr="000F779A">
              <w:rPr>
                <w:rFonts w:asciiTheme="minorHAnsi" w:eastAsia="Calibri" w:hAnsiTheme="minorHAnsi" w:cstheme="minorHAnsi"/>
                <w:sz w:val="22"/>
                <w:szCs w:val="22"/>
              </w:rPr>
              <w:t xml:space="preserve">atient </w:t>
            </w:r>
            <w:r w:rsidR="00B70E42" w:rsidRPr="000F779A">
              <w:rPr>
                <w:rFonts w:asciiTheme="minorHAnsi" w:eastAsia="Calibri" w:hAnsiTheme="minorHAnsi" w:cstheme="minorHAnsi"/>
                <w:sz w:val="22"/>
                <w:szCs w:val="22"/>
              </w:rPr>
              <w:t>A</w:t>
            </w:r>
            <w:r w:rsidRPr="000F779A">
              <w:rPr>
                <w:rFonts w:asciiTheme="minorHAnsi" w:eastAsia="Calibri" w:hAnsiTheme="minorHAnsi" w:cstheme="minorHAnsi"/>
                <w:sz w:val="22"/>
                <w:szCs w:val="22"/>
              </w:rPr>
              <w:t>ccess</w:t>
            </w:r>
            <w:r w:rsidR="000B7459" w:rsidRPr="000F779A">
              <w:rPr>
                <w:rFonts w:asciiTheme="minorHAnsi" w:eastAsia="Calibri" w:hAnsiTheme="minorHAnsi" w:cstheme="minorHAnsi"/>
                <w:sz w:val="22"/>
                <w:szCs w:val="22"/>
              </w:rPr>
              <w:t xml:space="preserve"> APIs </w:t>
            </w:r>
            <w:r w:rsidR="00FC2793" w:rsidRPr="000F779A">
              <w:rPr>
                <w:rFonts w:asciiTheme="minorHAnsi" w:eastAsia="Calibri" w:hAnsiTheme="minorHAnsi" w:cstheme="minorHAnsi"/>
                <w:sz w:val="22"/>
                <w:szCs w:val="22"/>
              </w:rPr>
              <w:t xml:space="preserve">include </w:t>
            </w:r>
            <w:r w:rsidR="00340E0E" w:rsidRPr="000F779A">
              <w:rPr>
                <w:rFonts w:asciiTheme="minorHAnsi" w:eastAsia="Calibri" w:hAnsiTheme="minorHAnsi" w:cstheme="minorHAnsi"/>
                <w:sz w:val="22"/>
                <w:szCs w:val="22"/>
              </w:rPr>
              <w:t>claims, encounter, and clinical data</w:t>
            </w:r>
            <w:r w:rsidRPr="000F779A">
              <w:rPr>
                <w:rFonts w:asciiTheme="minorHAnsi" w:eastAsia="Calibri" w:hAnsiTheme="minorHAnsi" w:cstheme="minorHAnsi"/>
                <w:sz w:val="22"/>
                <w:szCs w:val="22"/>
              </w:rPr>
              <w:t>. This rule requires</w:t>
            </w:r>
            <w:r w:rsidR="00340E0E" w:rsidRPr="000F779A">
              <w:rPr>
                <w:rFonts w:asciiTheme="minorHAnsi" w:eastAsia="Calibri" w:hAnsiTheme="minorHAnsi" w:cstheme="minorHAnsi"/>
                <w:sz w:val="22"/>
                <w:szCs w:val="22"/>
              </w:rPr>
              <w:t xml:space="preserve"> that </w:t>
            </w:r>
            <w:r w:rsidR="00F76FA9" w:rsidRPr="000F779A">
              <w:rPr>
                <w:rFonts w:asciiTheme="minorHAnsi" w:eastAsia="Calibri" w:hAnsiTheme="minorHAnsi" w:cstheme="minorHAnsi"/>
                <w:sz w:val="22"/>
                <w:szCs w:val="22"/>
              </w:rPr>
              <w:t xml:space="preserve">payers now include prior </w:t>
            </w:r>
            <w:r w:rsidR="001C1B42" w:rsidRPr="000F779A">
              <w:rPr>
                <w:rFonts w:asciiTheme="minorHAnsi" w:eastAsia="Calibri" w:hAnsiTheme="minorHAnsi" w:cstheme="minorHAnsi"/>
                <w:sz w:val="22"/>
                <w:szCs w:val="22"/>
              </w:rPr>
              <w:t>authorization information</w:t>
            </w:r>
            <w:r w:rsidR="00F23196" w:rsidRPr="000F779A">
              <w:rPr>
                <w:rFonts w:asciiTheme="minorHAnsi" w:eastAsia="Calibri" w:hAnsiTheme="minorHAnsi" w:cstheme="minorHAnsi"/>
                <w:sz w:val="22"/>
                <w:szCs w:val="22"/>
              </w:rPr>
              <w:t xml:space="preserve"> and a</w:t>
            </w:r>
            <w:r w:rsidR="00FF3A9F" w:rsidRPr="000F779A">
              <w:rPr>
                <w:rFonts w:asciiTheme="minorHAnsi" w:eastAsia="Calibri" w:hAnsiTheme="minorHAnsi" w:cstheme="minorHAnsi"/>
                <w:sz w:val="22"/>
                <w:szCs w:val="22"/>
              </w:rPr>
              <w:t>dds requirements for reporting metrics to CMS</w:t>
            </w:r>
            <w:r w:rsidR="00FC2793" w:rsidRPr="000F779A">
              <w:rPr>
                <w:rFonts w:asciiTheme="minorHAnsi" w:eastAsia="Calibri" w:hAnsiTheme="minorHAnsi" w:cstheme="minorHAnsi"/>
                <w:sz w:val="22"/>
                <w:szCs w:val="22"/>
              </w:rPr>
              <w:t>.</w:t>
            </w:r>
            <w:r w:rsidR="000D3058" w:rsidRPr="000F779A">
              <w:rPr>
                <w:rFonts w:asciiTheme="minorHAnsi" w:eastAsia="Calibri" w:hAnsiTheme="minorHAnsi" w:cstheme="minorHAnsi"/>
                <w:sz w:val="22"/>
                <w:szCs w:val="22"/>
              </w:rPr>
              <w:t xml:space="preserve"> </w:t>
            </w:r>
            <w:r w:rsidR="00DB240C" w:rsidRPr="000F779A">
              <w:rPr>
                <w:rFonts w:asciiTheme="minorHAnsi" w:eastAsia="Calibri" w:hAnsiTheme="minorHAnsi" w:cstheme="minorHAnsi"/>
                <w:sz w:val="22"/>
                <w:szCs w:val="22"/>
              </w:rPr>
              <w:t>(</w:t>
            </w:r>
            <w:r w:rsidR="003431CE" w:rsidRPr="000F779A">
              <w:rPr>
                <w:rFonts w:asciiTheme="minorHAnsi" w:eastAsia="Calibri" w:hAnsiTheme="minorHAnsi" w:cstheme="minorHAnsi"/>
                <w:sz w:val="22"/>
                <w:szCs w:val="22"/>
              </w:rPr>
              <w:t>O</w:t>
            </w:r>
            <w:r w:rsidR="00DB240C" w:rsidRPr="000F779A">
              <w:rPr>
                <w:rFonts w:asciiTheme="minorHAnsi" w:eastAsia="Calibri" w:hAnsiTheme="minorHAnsi" w:cstheme="minorHAnsi"/>
                <w:sz w:val="22"/>
                <w:szCs w:val="22"/>
              </w:rPr>
              <w:t xml:space="preserve">ne year of historical prior authorization data required on the </w:t>
            </w:r>
            <w:r w:rsidR="00B70E42" w:rsidRPr="000F779A">
              <w:rPr>
                <w:rFonts w:asciiTheme="minorHAnsi" w:eastAsia="Calibri" w:hAnsiTheme="minorHAnsi" w:cstheme="minorHAnsi"/>
                <w:sz w:val="22"/>
                <w:szCs w:val="22"/>
              </w:rPr>
              <w:t>P</w:t>
            </w:r>
            <w:r w:rsidR="003431CE" w:rsidRPr="000F779A">
              <w:rPr>
                <w:rFonts w:asciiTheme="minorHAnsi" w:eastAsia="Calibri" w:hAnsiTheme="minorHAnsi" w:cstheme="minorHAnsi"/>
                <w:sz w:val="22"/>
                <w:szCs w:val="22"/>
              </w:rPr>
              <w:t xml:space="preserve">atient </w:t>
            </w:r>
            <w:r w:rsidR="00B70E42" w:rsidRPr="000F779A">
              <w:rPr>
                <w:rFonts w:asciiTheme="minorHAnsi" w:eastAsia="Calibri" w:hAnsiTheme="minorHAnsi" w:cstheme="minorHAnsi"/>
                <w:sz w:val="22"/>
                <w:szCs w:val="22"/>
              </w:rPr>
              <w:t>A</w:t>
            </w:r>
            <w:r w:rsidR="003431CE" w:rsidRPr="000F779A">
              <w:rPr>
                <w:rFonts w:asciiTheme="minorHAnsi" w:eastAsia="Calibri" w:hAnsiTheme="minorHAnsi" w:cstheme="minorHAnsi"/>
                <w:sz w:val="22"/>
                <w:szCs w:val="22"/>
              </w:rPr>
              <w:t>ccess API.)</w:t>
            </w:r>
          </w:p>
          <w:p w14:paraId="441663A1" w14:textId="77777777" w:rsidR="00AB251F" w:rsidRPr="000F779A" w:rsidRDefault="00AB251F" w:rsidP="007C459F">
            <w:pPr>
              <w:spacing w:before="40" w:after="40"/>
              <w:rPr>
                <w:rFonts w:asciiTheme="minorHAnsi" w:eastAsia="Calibri" w:hAnsiTheme="minorHAnsi" w:cstheme="minorHAnsi"/>
                <w:sz w:val="22"/>
                <w:szCs w:val="22"/>
              </w:rPr>
            </w:pPr>
          </w:p>
          <w:p w14:paraId="47611C66" w14:textId="3BFC1C9C" w:rsidR="00AB251F" w:rsidRPr="000F779A" w:rsidRDefault="00AB251F" w:rsidP="007C459F">
            <w:pPr>
              <w:spacing w:before="40" w:after="40"/>
              <w:rPr>
                <w:rFonts w:asciiTheme="minorHAnsi" w:eastAsia="Calibri" w:hAnsiTheme="minorHAnsi" w:cstheme="minorHAnsi"/>
                <w:b/>
                <w:bCs/>
                <w:sz w:val="22"/>
                <w:szCs w:val="22"/>
              </w:rPr>
            </w:pPr>
            <w:r w:rsidRPr="000F779A">
              <w:rPr>
                <w:rFonts w:asciiTheme="minorHAnsi" w:eastAsia="Calibri" w:hAnsiTheme="minorHAnsi" w:cstheme="minorHAnsi"/>
                <w:sz w:val="22"/>
                <w:szCs w:val="22"/>
              </w:rPr>
              <w:t>Patients are permitted to opt out.</w:t>
            </w:r>
          </w:p>
        </w:tc>
      </w:tr>
      <w:tr w:rsidR="00B271B6" w:rsidRPr="000F779A" w14:paraId="59ACD4C1" w14:textId="77777777" w:rsidTr="00F02546">
        <w:tc>
          <w:tcPr>
            <w:tcW w:w="2317" w:type="dxa"/>
            <w:shd w:val="clear" w:color="auto" w:fill="auto"/>
          </w:tcPr>
          <w:p w14:paraId="2BE0CF46" w14:textId="52BDC24D" w:rsidR="00B271B6" w:rsidRPr="000F779A" w:rsidRDefault="00B271B6" w:rsidP="002107B8">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Adding §431.61</w:t>
            </w:r>
          </w:p>
          <w:p w14:paraId="0FF3119D" w14:textId="77777777" w:rsidR="003D4653" w:rsidRPr="000F779A" w:rsidRDefault="003D4653" w:rsidP="002107B8">
            <w:pPr>
              <w:spacing w:before="40" w:after="40"/>
              <w:rPr>
                <w:rFonts w:asciiTheme="minorHAnsi" w:eastAsia="Calibri" w:hAnsiTheme="minorHAnsi" w:cstheme="minorHAnsi"/>
                <w:b/>
                <w:bCs/>
                <w:i/>
                <w:iCs/>
                <w:sz w:val="22"/>
                <w:szCs w:val="22"/>
              </w:rPr>
            </w:pPr>
          </w:p>
          <w:p w14:paraId="7EE94E2A" w14:textId="132A2494" w:rsidR="003D4653" w:rsidRPr="000F779A" w:rsidRDefault="003D4653" w:rsidP="002107B8">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37CD5348" w14:textId="0B717F52" w:rsidR="003D4653" w:rsidRPr="000F779A" w:rsidRDefault="003D4653" w:rsidP="002107B8">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sz w:val="22"/>
                <w:szCs w:val="22"/>
              </w:rPr>
              <w:t>January 1, 2027</w:t>
            </w:r>
          </w:p>
          <w:p w14:paraId="281FE537" w14:textId="77777777" w:rsidR="003D4653" w:rsidRPr="000F779A" w:rsidRDefault="003D4653" w:rsidP="002107B8">
            <w:pPr>
              <w:spacing w:before="40" w:after="40"/>
              <w:rPr>
                <w:rFonts w:asciiTheme="minorHAnsi" w:eastAsia="Calibri" w:hAnsiTheme="minorHAnsi" w:cstheme="minorHAnsi"/>
                <w:sz w:val="22"/>
                <w:szCs w:val="22"/>
              </w:rPr>
            </w:pPr>
          </w:p>
          <w:p w14:paraId="240F6DD0" w14:textId="45797619" w:rsidR="00B271B6" w:rsidRPr="000F779A" w:rsidRDefault="00B271B6" w:rsidP="002107B8">
            <w:pPr>
              <w:spacing w:before="40" w:after="40"/>
              <w:rPr>
                <w:rFonts w:asciiTheme="minorHAnsi" w:eastAsia="Calibri" w:hAnsiTheme="minorHAnsi" w:cstheme="minorHAnsi"/>
                <w:b/>
                <w:bCs/>
                <w:i/>
                <w:iCs/>
                <w:sz w:val="22"/>
                <w:szCs w:val="22"/>
              </w:rPr>
            </w:pPr>
          </w:p>
        </w:tc>
        <w:tc>
          <w:tcPr>
            <w:tcW w:w="7290" w:type="dxa"/>
            <w:shd w:val="clear" w:color="auto" w:fill="auto"/>
          </w:tcPr>
          <w:p w14:paraId="65DBAA1B" w14:textId="32D2B5B6" w:rsidR="00B271B6" w:rsidRPr="000F779A" w:rsidRDefault="00B271B6" w:rsidP="00F46A7A">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t>§431.61</w:t>
            </w:r>
            <w:r w:rsidRPr="000F779A">
              <w:rPr>
                <w:rFonts w:asciiTheme="minorHAnsi" w:eastAsia="Calibri" w:hAnsiTheme="minorHAnsi" w:cstheme="minorHAnsi"/>
                <w:b/>
                <w:bCs/>
                <w:sz w:val="22"/>
                <w:szCs w:val="22"/>
              </w:rPr>
              <w:t>(a)</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b/>
                <w:bCs/>
                <w:i/>
                <w:iCs/>
                <w:sz w:val="22"/>
                <w:szCs w:val="22"/>
              </w:rPr>
              <w:t>Application programming interface to support data exchange from payers to providers—Provider Access API.</w:t>
            </w:r>
            <w:r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sz w:val="22"/>
                <w:szCs w:val="22"/>
              </w:rPr>
              <w:t xml:space="preserve">Beginning January 1, 2027, unless granted an extension or exemption under paragraph (c) of this section,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do the following:</w:t>
            </w:r>
          </w:p>
          <w:p w14:paraId="5543A838" w14:textId="58CA9042" w:rsidR="00B271B6" w:rsidRPr="000F779A" w:rsidRDefault="00A7207A" w:rsidP="00F46A7A">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(a)</w:t>
            </w:r>
            <w:r w:rsidR="00B271B6" w:rsidRPr="000F779A">
              <w:rPr>
                <w:rFonts w:asciiTheme="minorHAnsi" w:eastAsia="Calibri" w:hAnsiTheme="minorHAnsi" w:cstheme="minorHAnsi"/>
                <w:b/>
                <w:bCs/>
                <w:sz w:val="22"/>
                <w:szCs w:val="22"/>
              </w:rPr>
              <w:t>(1)</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API requirements. </w:t>
            </w:r>
            <w:r w:rsidR="00B271B6" w:rsidRPr="000F779A">
              <w:rPr>
                <w:rFonts w:asciiTheme="minorHAnsi" w:eastAsia="Calibri" w:hAnsiTheme="minorHAnsi" w:cstheme="minorHAnsi"/>
                <w:sz w:val="22"/>
                <w:szCs w:val="22"/>
              </w:rPr>
              <w:t>Implement and maintain an application programming interface (API) conformant with all of the following:</w:t>
            </w:r>
          </w:p>
          <w:p w14:paraId="5A453B48" w14:textId="4AF9173D" w:rsidR="00B271B6" w:rsidRPr="000F779A" w:rsidRDefault="00B271B6" w:rsidP="004A20D9">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Section 431.60(c)(2) through (4), (d), and (e).</w:t>
            </w:r>
          </w:p>
          <w:p w14:paraId="7A244CEE" w14:textId="434EC41D" w:rsidR="00B271B6" w:rsidRPr="000F779A" w:rsidRDefault="00B271B6" w:rsidP="004A20D9">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standards in 45 CFR 170.215(a)(1), (b)(1)(i), (c)(1), and (d)(1).</w:t>
            </w:r>
          </w:p>
          <w:p w14:paraId="10271B09" w14:textId="6C340DEB" w:rsidR="00B271B6" w:rsidRPr="000F779A" w:rsidRDefault="00A7207A" w:rsidP="00BB1487">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(a)</w:t>
            </w:r>
            <w:r w:rsidR="00B271B6" w:rsidRPr="000F779A">
              <w:rPr>
                <w:rFonts w:asciiTheme="minorHAnsi" w:eastAsia="Calibri" w:hAnsiTheme="minorHAnsi" w:cstheme="minorHAnsi"/>
                <w:b/>
                <w:bCs/>
                <w:sz w:val="22"/>
                <w:szCs w:val="22"/>
              </w:rPr>
              <w:t>(2)</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Provider access. </w:t>
            </w:r>
            <w:r w:rsidR="00B271B6" w:rsidRPr="000F779A">
              <w:rPr>
                <w:rFonts w:asciiTheme="minorHAnsi" w:eastAsia="Calibri" w:hAnsiTheme="minorHAnsi" w:cstheme="minorHAnsi"/>
                <w:sz w:val="22"/>
                <w:szCs w:val="22"/>
              </w:rPr>
              <w:t xml:space="preserve">Make the data specified in §431.60(b) with a date of service on or after January 1, 2016, excluding provider remittances and beneficiary cost-sharing information, that are maintained by the </w:t>
            </w:r>
            <w:r w:rsidR="00D20C60" w:rsidRPr="000F779A">
              <w:rPr>
                <w:rFonts w:asciiTheme="minorHAnsi" w:eastAsia="Calibri" w:hAnsiTheme="minorHAnsi" w:cstheme="minorHAnsi"/>
                <w:sz w:val="22"/>
                <w:szCs w:val="22"/>
              </w:rPr>
              <w:t>state</w:t>
            </w:r>
            <w:r w:rsidR="00B271B6" w:rsidRPr="000F779A">
              <w:rPr>
                <w:rFonts w:asciiTheme="minorHAnsi" w:eastAsia="Calibri" w:hAnsiTheme="minorHAnsi" w:cstheme="minorHAnsi"/>
                <w:sz w:val="22"/>
                <w:szCs w:val="22"/>
              </w:rPr>
              <w:t xml:space="preserve"> available to enrolled Medicaid providers via the API required in paragraph (a)(1) of this section no later than 1 business day after receiving a request from such a provider, if all the following conditions are met:</w:t>
            </w:r>
          </w:p>
          <w:p w14:paraId="1723A40F" w14:textId="38DACE10" w:rsidR="00B271B6" w:rsidRPr="000F779A" w:rsidRDefault="00B271B6" w:rsidP="00BB148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authenticates the identity of the provider that requests access and attributes the beneficiary to the provider under the attribution process described in paragraph (a)(3) of this section.</w:t>
            </w:r>
          </w:p>
          <w:p w14:paraId="633A4E4F" w14:textId="088351CE" w:rsidR="00B271B6" w:rsidRPr="000F779A" w:rsidRDefault="00B271B6" w:rsidP="00BB148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beneficiary does not opt out as described in paragraph (a)(4) of this section.</w:t>
            </w:r>
          </w:p>
          <w:p w14:paraId="58A40AB8" w14:textId="77777777" w:rsidR="00B271B6" w:rsidRPr="000F779A" w:rsidRDefault="00B271B6" w:rsidP="00BB148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(iii) Disclosure of the data is not prohibited by other applicable law.</w:t>
            </w:r>
          </w:p>
          <w:p w14:paraId="4110F3EF" w14:textId="402FE64D" w:rsidR="00B271B6" w:rsidRPr="000F779A" w:rsidRDefault="00A7207A" w:rsidP="00DA4AB5">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(a)(</w:t>
            </w:r>
            <w:r w:rsidR="00B271B6" w:rsidRPr="000F779A">
              <w:rPr>
                <w:rFonts w:asciiTheme="minorHAnsi" w:eastAsia="Calibri" w:hAnsiTheme="minorHAnsi" w:cstheme="minorHAnsi"/>
                <w:b/>
                <w:bCs/>
                <w:sz w:val="22"/>
                <w:szCs w:val="22"/>
              </w:rPr>
              <w:t>3)</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Attribution. </w:t>
            </w:r>
            <w:r w:rsidR="00B271B6" w:rsidRPr="000F779A">
              <w:rPr>
                <w:rFonts w:asciiTheme="minorHAnsi" w:eastAsia="Calibri" w:hAnsiTheme="minorHAnsi" w:cstheme="minorHAnsi"/>
                <w:sz w:val="22"/>
                <w:szCs w:val="22"/>
              </w:rPr>
              <w:t>Establish and maintain a process to associate beneficiaries with their enrolled Medicaid providers to enable data exchange via the Provider Access API.</w:t>
            </w:r>
          </w:p>
          <w:p w14:paraId="4B79A983" w14:textId="7E7A1D3B" w:rsidR="00B271B6" w:rsidRPr="000F779A" w:rsidRDefault="00C05268" w:rsidP="00DA4AB5">
            <w:pPr>
              <w:spacing w:before="40" w:after="40"/>
              <w:rPr>
                <w:rFonts w:asciiTheme="minorHAnsi" w:eastAsia="Calibri" w:hAnsiTheme="minorHAnsi" w:cstheme="minorHAnsi"/>
                <w:i/>
                <w:iCs/>
                <w:sz w:val="22"/>
                <w:szCs w:val="22"/>
              </w:rPr>
            </w:pPr>
            <w:r w:rsidRPr="000F779A">
              <w:rPr>
                <w:rFonts w:asciiTheme="minorHAnsi" w:eastAsia="Calibri" w:hAnsiTheme="minorHAnsi" w:cstheme="minorHAnsi"/>
                <w:b/>
                <w:bCs/>
                <w:sz w:val="22"/>
                <w:szCs w:val="22"/>
              </w:rPr>
              <w:t>(a)</w:t>
            </w:r>
            <w:r w:rsidR="00B271B6" w:rsidRPr="000F779A">
              <w:rPr>
                <w:rFonts w:asciiTheme="minorHAnsi" w:eastAsia="Calibri" w:hAnsiTheme="minorHAnsi" w:cstheme="minorHAnsi"/>
                <w:b/>
                <w:bCs/>
                <w:sz w:val="22"/>
                <w:szCs w:val="22"/>
              </w:rPr>
              <w:t>(4)</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Opt out and patient educational resources. </w:t>
            </w:r>
          </w:p>
          <w:p w14:paraId="7EEE6260" w14:textId="6ED18A04" w:rsidR="00B271B6" w:rsidRPr="000F779A" w:rsidRDefault="00B271B6" w:rsidP="00AD5BF5">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Establish and maintain a process to allow a beneficiary or the beneficiary’s personal representative to opt out of the data exchange described in paragraph (a)(2) of this section and to change their permission at any time. That process must be available before the first date on which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makes beneficiary information available via the Provider Access API and at any time while the beneficiary is enrolled with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w:t>
            </w:r>
          </w:p>
          <w:p w14:paraId="20D36AA6" w14:textId="73F05F6E" w:rsidR="00B271B6" w:rsidRPr="000F779A" w:rsidRDefault="00B271B6" w:rsidP="00AD5BF5">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Provide information to beneficiaries in plain language about the benefits of API data exchange with their providers, their opt out rights, and instructions both for opting out of data exchange and for subsequently opting in, as follows:</w:t>
            </w:r>
          </w:p>
          <w:p w14:paraId="4865F106" w14:textId="1E006955" w:rsidR="00B271B6" w:rsidRPr="000F779A" w:rsidRDefault="00B271B6" w:rsidP="00144D9C">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Before the first date on which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makes beneficiary information available through the Provider Access API.</w:t>
            </w:r>
          </w:p>
          <w:p w14:paraId="65E20F33" w14:textId="4485F442" w:rsidR="00B271B6" w:rsidRPr="000F779A" w:rsidRDefault="00B271B6" w:rsidP="00144D9C">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No later than 1 week after enrollment.</w:t>
            </w:r>
          </w:p>
          <w:p w14:paraId="2C6DFDBB" w14:textId="77777777" w:rsidR="00B271B6" w:rsidRPr="000F779A" w:rsidRDefault="00B271B6" w:rsidP="00144D9C">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At least annually.</w:t>
            </w:r>
          </w:p>
          <w:p w14:paraId="00FE0EBF" w14:textId="77777777" w:rsidR="00B271B6" w:rsidRPr="000F779A" w:rsidRDefault="00B271B6" w:rsidP="00636CB3">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(D) In an easily accessible location on its public website.</w:t>
            </w:r>
          </w:p>
          <w:p w14:paraId="4FF062B1" w14:textId="6C459BF0" w:rsidR="00B271B6" w:rsidRPr="000F779A" w:rsidRDefault="00C05268" w:rsidP="00C105EB">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(a)</w:t>
            </w:r>
            <w:r w:rsidR="00B271B6" w:rsidRPr="000F779A">
              <w:rPr>
                <w:rFonts w:asciiTheme="minorHAnsi" w:eastAsia="Calibri" w:hAnsiTheme="minorHAnsi" w:cstheme="minorHAnsi"/>
                <w:b/>
                <w:bCs/>
                <w:sz w:val="22"/>
                <w:szCs w:val="22"/>
              </w:rPr>
              <w:t>(5)</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Provider resources. </w:t>
            </w:r>
            <w:r w:rsidR="00B271B6" w:rsidRPr="000F779A">
              <w:rPr>
                <w:rFonts w:asciiTheme="minorHAnsi" w:eastAsia="Calibri" w:hAnsiTheme="minorHAnsi" w:cstheme="minorHAnsi"/>
                <w:sz w:val="22"/>
                <w:szCs w:val="22"/>
              </w:rPr>
              <w:t xml:space="preserve">Provide on its website and through other appropriate provider communications, information in plain language explaining the process for requesting beneficiary data using the Provider Access API required in paragraph (a)(1) of this section. The resources must include information about how to use the </w:t>
            </w:r>
            <w:r w:rsidR="00D20C60" w:rsidRPr="000F779A">
              <w:rPr>
                <w:rFonts w:asciiTheme="minorHAnsi" w:eastAsia="Calibri" w:hAnsiTheme="minorHAnsi" w:cstheme="minorHAnsi"/>
                <w:sz w:val="22"/>
                <w:szCs w:val="22"/>
              </w:rPr>
              <w:t>state</w:t>
            </w:r>
            <w:r w:rsidR="00B271B6" w:rsidRPr="000F779A">
              <w:rPr>
                <w:rFonts w:asciiTheme="minorHAnsi" w:eastAsia="Calibri" w:hAnsiTheme="minorHAnsi" w:cstheme="minorHAnsi"/>
                <w:sz w:val="22"/>
                <w:szCs w:val="22"/>
              </w:rPr>
              <w:t>’s attribution process to associate beneficiaries with their providers.</w:t>
            </w:r>
          </w:p>
          <w:p w14:paraId="410D67E9" w14:textId="46BA34B8" w:rsidR="00B271B6" w:rsidRPr="000F779A" w:rsidRDefault="00B271B6" w:rsidP="00311492">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lastRenderedPageBreak/>
              <w:t>(b)</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Application programming interface to support data exchange between payers—Payer-to-Payer API. </w:t>
            </w:r>
            <w:r w:rsidRPr="000F779A">
              <w:rPr>
                <w:rFonts w:asciiTheme="minorHAnsi" w:eastAsia="Calibri" w:hAnsiTheme="minorHAnsi" w:cstheme="minorHAnsi"/>
                <w:sz w:val="22"/>
                <w:szCs w:val="22"/>
              </w:rPr>
              <w:t xml:space="preserve">Beginning January 1, 2027, unless granted an extension or exemption under paragraph (c) of this section,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do the following:</w:t>
            </w:r>
          </w:p>
          <w:p w14:paraId="11CA96C4" w14:textId="2F11C9FE" w:rsidR="00B271B6" w:rsidRPr="000F779A" w:rsidRDefault="00F01B8B" w:rsidP="00311492">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00B271B6" w:rsidRPr="000F779A">
              <w:rPr>
                <w:rFonts w:asciiTheme="minorHAnsi" w:eastAsia="Calibri" w:hAnsiTheme="minorHAnsi" w:cstheme="minorHAnsi"/>
                <w:b/>
                <w:bCs/>
                <w:sz w:val="22"/>
                <w:szCs w:val="22"/>
              </w:rPr>
              <w:t>(1)</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API requirements. </w:t>
            </w:r>
            <w:r w:rsidR="00B271B6" w:rsidRPr="000F779A">
              <w:rPr>
                <w:rFonts w:asciiTheme="minorHAnsi" w:eastAsia="Calibri" w:hAnsiTheme="minorHAnsi" w:cstheme="minorHAnsi"/>
                <w:sz w:val="22"/>
                <w:szCs w:val="22"/>
              </w:rPr>
              <w:t>Implement and maintain an API conformant with all of the following:</w:t>
            </w:r>
          </w:p>
          <w:p w14:paraId="2E222FC5" w14:textId="69F31A75" w:rsidR="00B271B6" w:rsidRPr="000F779A" w:rsidRDefault="00B271B6" w:rsidP="00676628">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Section 431.60(c)(2) through (4), (d), and (e).</w:t>
            </w:r>
          </w:p>
          <w:p w14:paraId="454DE931" w14:textId="48078F8D" w:rsidR="00B271B6" w:rsidRPr="000F779A" w:rsidRDefault="00B271B6" w:rsidP="00676628">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standards in 45 CFR 170.215(a)(1), (b)(1)(i), and (d)(1).</w:t>
            </w:r>
          </w:p>
          <w:p w14:paraId="39B1B91E" w14:textId="46B9ECA2" w:rsidR="00B271B6" w:rsidRPr="000F779A" w:rsidRDefault="00F01B8B" w:rsidP="00311492">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00B271B6" w:rsidRPr="000F779A">
              <w:rPr>
                <w:rFonts w:asciiTheme="minorHAnsi" w:eastAsia="Calibri" w:hAnsiTheme="minorHAnsi" w:cstheme="minorHAnsi"/>
                <w:b/>
                <w:bCs/>
                <w:sz w:val="22"/>
                <w:szCs w:val="22"/>
              </w:rPr>
              <w:t>(2)</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Opt in. </w:t>
            </w:r>
            <w:r w:rsidR="00B271B6" w:rsidRPr="000F779A">
              <w:rPr>
                <w:rFonts w:asciiTheme="minorHAnsi" w:eastAsia="Calibri" w:hAnsiTheme="minorHAnsi" w:cstheme="minorHAnsi"/>
                <w:sz w:val="22"/>
                <w:szCs w:val="22"/>
              </w:rPr>
              <w:t xml:space="preserve">Establish and maintain a process to allow beneficiaries or their personal representatives to opt into the </w:t>
            </w:r>
            <w:r w:rsidR="00D20C60" w:rsidRPr="000F779A">
              <w:rPr>
                <w:rFonts w:asciiTheme="minorHAnsi" w:eastAsia="Calibri" w:hAnsiTheme="minorHAnsi" w:cstheme="minorHAnsi"/>
                <w:sz w:val="22"/>
                <w:szCs w:val="22"/>
              </w:rPr>
              <w:t>state</w:t>
            </w:r>
            <w:r w:rsidR="00B271B6" w:rsidRPr="000F779A">
              <w:rPr>
                <w:rFonts w:asciiTheme="minorHAnsi" w:eastAsia="Calibri" w:hAnsiTheme="minorHAnsi" w:cstheme="minorHAnsi"/>
                <w:sz w:val="22"/>
                <w:szCs w:val="22"/>
              </w:rPr>
              <w:t>’s payer to payer data exchange</w:t>
            </w:r>
            <w:r w:rsidR="00CD7F05"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sz w:val="22"/>
                <w:szCs w:val="22"/>
              </w:rPr>
              <w:t>with the beneficiary’s previous payer(s), described in paragraphs (b)(4) and (5) of this section, and with concurrent payer(s), described in paragraph (b)(6) of this section, and to change their permission at any time.</w:t>
            </w:r>
          </w:p>
          <w:p w14:paraId="08F0C803" w14:textId="4CF32D4E" w:rsidR="00B271B6" w:rsidRPr="000F779A" w:rsidRDefault="00B271B6" w:rsidP="00BD01F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The opt in process must be offered as follows:</w:t>
            </w:r>
          </w:p>
          <w:p w14:paraId="65C64560" w14:textId="12F5F353" w:rsidR="00B271B6" w:rsidRPr="000F779A" w:rsidRDefault="00B271B6" w:rsidP="00566693">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To current beneficiaries, no later than the compliance date.</w:t>
            </w:r>
          </w:p>
          <w:p w14:paraId="48E4B9DA" w14:textId="11EFF21D" w:rsidR="00B271B6" w:rsidRPr="000F779A" w:rsidRDefault="00B271B6" w:rsidP="00566693">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To new beneficiaries, no later than 1 week after enrollment.</w:t>
            </w:r>
          </w:p>
          <w:p w14:paraId="4E6F0C33" w14:textId="2E6A03A6" w:rsidR="00B271B6" w:rsidRPr="000F779A" w:rsidRDefault="00B271B6" w:rsidP="00566693">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If a beneficiary has coverage through any Medicaid MCO, prepaid inpatient health plan (PIHP), or prepaid ambulatory health plan (PAHP) within the same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while enrolled in Medicaid,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share their opt in permission with those MCO, PIHP, or PAHP to allow the Payer-to-Payer API data exchange described in this section.</w:t>
            </w:r>
          </w:p>
          <w:p w14:paraId="506C35DF" w14:textId="019763FC" w:rsidR="00B271B6" w:rsidRPr="000F779A" w:rsidRDefault="00B271B6" w:rsidP="00946DD9">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(iii) If a beneficiary does not respond or additional information is necessary,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make reasonable efforts to engage with the beneficiary to collect this information.</w:t>
            </w:r>
          </w:p>
          <w:p w14:paraId="073D0F7E" w14:textId="4EE62B0F" w:rsidR="00B271B6" w:rsidRPr="000F779A" w:rsidRDefault="00F01B8B" w:rsidP="00311492">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00B271B6" w:rsidRPr="000F779A">
              <w:rPr>
                <w:rFonts w:asciiTheme="minorHAnsi" w:eastAsia="Calibri" w:hAnsiTheme="minorHAnsi" w:cstheme="minorHAnsi"/>
                <w:b/>
                <w:bCs/>
                <w:sz w:val="22"/>
                <w:szCs w:val="22"/>
              </w:rPr>
              <w:t>(3)</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Identify previous and concurrent payers. </w:t>
            </w:r>
            <w:r w:rsidR="00B271B6" w:rsidRPr="000F779A">
              <w:rPr>
                <w:rFonts w:asciiTheme="minorHAnsi" w:eastAsia="Calibri" w:hAnsiTheme="minorHAnsi" w:cstheme="minorHAnsi"/>
                <w:sz w:val="22"/>
                <w:szCs w:val="22"/>
              </w:rPr>
              <w:t xml:space="preserve">Establish and maintain a process to identify a new beneficiary’s previous and concurrent payer(s) to </w:t>
            </w:r>
            <w:r w:rsidR="00B271B6" w:rsidRPr="000F779A">
              <w:rPr>
                <w:rFonts w:asciiTheme="minorHAnsi" w:eastAsia="Calibri" w:hAnsiTheme="minorHAnsi" w:cstheme="minorHAnsi"/>
                <w:sz w:val="22"/>
                <w:szCs w:val="22"/>
              </w:rPr>
              <w:lastRenderedPageBreak/>
              <w:t>facilitate the Payer-to-Payer API data exchange. The information request process must start as follows:</w:t>
            </w:r>
          </w:p>
          <w:p w14:paraId="19CB2FC3" w14:textId="34FECBC4" w:rsidR="00B271B6" w:rsidRPr="000F779A" w:rsidRDefault="00B271B6" w:rsidP="00946DD9">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For current beneficiaries, no later than the compliance date.</w:t>
            </w:r>
          </w:p>
          <w:p w14:paraId="05B636AE" w14:textId="07FD04DA" w:rsidR="00B271B6" w:rsidRPr="000F779A" w:rsidRDefault="00B271B6" w:rsidP="00946DD9">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For new beneficiaries, no later than 1 week after enrollment.</w:t>
            </w:r>
          </w:p>
          <w:p w14:paraId="501208DB" w14:textId="57F890C5" w:rsidR="00B271B6" w:rsidRPr="000F779A" w:rsidRDefault="00B271B6" w:rsidP="00946DD9">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(iii) If a beneficiary does not respond or additional information is necessary,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make reasonable efforts to engage with the beneficiary to collect this information.</w:t>
            </w:r>
          </w:p>
          <w:p w14:paraId="7C5DB920" w14:textId="4552B955" w:rsidR="00B271B6" w:rsidRPr="000F779A" w:rsidRDefault="00F01B8B" w:rsidP="00311492">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00B271B6" w:rsidRPr="000F779A">
              <w:rPr>
                <w:rFonts w:asciiTheme="minorHAnsi" w:eastAsia="Calibri" w:hAnsiTheme="minorHAnsi" w:cstheme="minorHAnsi"/>
                <w:b/>
                <w:bCs/>
                <w:sz w:val="22"/>
                <w:szCs w:val="22"/>
              </w:rPr>
              <w:t>(4)</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Exchange request requirements. </w:t>
            </w:r>
            <w:r w:rsidR="00B271B6" w:rsidRPr="000F779A">
              <w:rPr>
                <w:rFonts w:asciiTheme="minorHAnsi" w:eastAsia="Calibri" w:hAnsiTheme="minorHAnsi" w:cstheme="minorHAnsi"/>
                <w:sz w:val="22"/>
                <w:szCs w:val="22"/>
              </w:rPr>
              <w:t>Exchange beneficiary data with other payers, consistent with the following requirements:</w:t>
            </w:r>
          </w:p>
          <w:p w14:paraId="04E16AEE" w14:textId="49C1B728" w:rsidR="00B271B6" w:rsidRPr="000F779A" w:rsidRDefault="00B271B6" w:rsidP="00946DD9">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request the data specified in paragraph (b)(4)(ii) of this section through the beneficiary’s previous payers’ API, if all the following conditions are met:</w:t>
            </w:r>
          </w:p>
          <w:p w14:paraId="2A63F207" w14:textId="3359B3A2"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The beneficiary has opted in, as described in paragraph (b)(2) of this section, except for data exchanges between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Medicaid agency and its contracted MCOs, PIHPs, or PAHPs, which do not require a beneficiary to</w:t>
            </w:r>
          </w:p>
          <w:p w14:paraId="7DFE22B4" w14:textId="77777777"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opt in. </w:t>
            </w:r>
          </w:p>
          <w:p w14:paraId="2CB9EDC4" w14:textId="58DFC317"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The exchange is not prohibited by</w:t>
            </w:r>
            <w:r w:rsidR="00F760D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other applicable law.</w:t>
            </w:r>
          </w:p>
          <w:p w14:paraId="39ED9B39" w14:textId="4D54B935" w:rsidR="00B271B6" w:rsidRPr="000F779A" w:rsidRDefault="00B271B6" w:rsidP="00700E0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data to be requested are all of the following with a date of service within 5 years before the request:</w:t>
            </w:r>
          </w:p>
          <w:p w14:paraId="27D17528" w14:textId="4C3FE14F"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Data specified in §431.60(b), excluding the following:</w:t>
            </w:r>
          </w:p>
          <w:p w14:paraId="6E66685B" w14:textId="11781125"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Provider remittances and enrollee cost-sharing information.</w:t>
            </w:r>
          </w:p>
          <w:p w14:paraId="69BE4FD6" w14:textId="77777777"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Denied prior authorizations.</w:t>
            </w:r>
          </w:p>
          <w:p w14:paraId="6E166B96" w14:textId="46F77B39"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Unstructured administrative and clinical documentation submitted by a provider related to prior authorizations.</w:t>
            </w:r>
          </w:p>
          <w:p w14:paraId="6BB5EEC6" w14:textId="04AC0AD6" w:rsidR="00B271B6" w:rsidRPr="000F779A" w:rsidRDefault="00B271B6" w:rsidP="001938EE">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(iii)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include an attestation with this request affirming that the beneficiary is enrolled with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and has opted into the data exchange.</w:t>
            </w:r>
          </w:p>
          <w:p w14:paraId="4035CBBA" w14:textId="42B97047" w:rsidR="00B271B6" w:rsidRPr="000F779A" w:rsidRDefault="00B271B6" w:rsidP="001938EE">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(iv)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complete this request as follows:</w:t>
            </w:r>
          </w:p>
          <w:p w14:paraId="24E72A14" w14:textId="7ABA88F9"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No later than 1 week after the payer has sufficient identifying information about previous payers and the beneficiary has opted in.</w:t>
            </w:r>
          </w:p>
          <w:p w14:paraId="3E496901" w14:textId="7C07B549" w:rsidR="00B271B6" w:rsidRPr="000F779A" w:rsidRDefault="00B271B6" w:rsidP="00700E0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At a beneficiary’s request, within 1 week of the request.</w:t>
            </w:r>
          </w:p>
          <w:p w14:paraId="78E59B9B" w14:textId="489607C4" w:rsidR="00B271B6" w:rsidRPr="000F779A" w:rsidRDefault="00B271B6" w:rsidP="00904432">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(v)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receive, through the API required in paragraph (b)(1) of this section, and incorporate into its records about the beneficiary, any data made available by other payers in response to the request.</w:t>
            </w:r>
          </w:p>
          <w:p w14:paraId="206C9FAF" w14:textId="3A7DCCE4" w:rsidR="00B271B6" w:rsidRPr="000F779A" w:rsidRDefault="00F01B8B" w:rsidP="009A29EA">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00B271B6" w:rsidRPr="000F779A">
              <w:rPr>
                <w:rFonts w:asciiTheme="minorHAnsi" w:eastAsia="Calibri" w:hAnsiTheme="minorHAnsi" w:cstheme="minorHAnsi"/>
                <w:b/>
                <w:bCs/>
                <w:sz w:val="22"/>
                <w:szCs w:val="22"/>
              </w:rPr>
              <w:t>(5)</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Exchange response requirements. </w:t>
            </w:r>
            <w:r w:rsidR="00B271B6" w:rsidRPr="000F779A">
              <w:rPr>
                <w:rFonts w:asciiTheme="minorHAnsi" w:eastAsia="Calibri" w:hAnsiTheme="minorHAnsi" w:cstheme="minorHAnsi"/>
                <w:sz w:val="22"/>
                <w:szCs w:val="22"/>
              </w:rPr>
              <w:t xml:space="preserve">Make available the data specified in paragraph (b)(4)(ii) of this section that are maintained by the </w:t>
            </w:r>
            <w:r w:rsidR="00D20C60" w:rsidRPr="000F779A">
              <w:rPr>
                <w:rFonts w:asciiTheme="minorHAnsi" w:eastAsia="Calibri" w:hAnsiTheme="minorHAnsi" w:cstheme="minorHAnsi"/>
                <w:sz w:val="22"/>
                <w:szCs w:val="22"/>
              </w:rPr>
              <w:t>state</w:t>
            </w:r>
            <w:r w:rsidR="00B271B6" w:rsidRPr="000F779A">
              <w:rPr>
                <w:rFonts w:asciiTheme="minorHAnsi" w:eastAsia="Calibri" w:hAnsiTheme="minorHAnsi" w:cstheme="minorHAnsi"/>
                <w:sz w:val="22"/>
                <w:szCs w:val="22"/>
              </w:rPr>
              <w:t xml:space="preserve"> to other payers via the API required in paragraph (b)(1) of this section within 1 business day of receiving a request, if all the following conditions are met:</w:t>
            </w:r>
          </w:p>
          <w:p w14:paraId="3442F76E" w14:textId="6301A20D" w:rsidR="00B271B6" w:rsidRPr="000F779A" w:rsidRDefault="00B271B6" w:rsidP="00A72C8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The payer that requests access has its identity authenticated and includes an attestation with the request that the patient is enrolled with the payer and has opted into the data exchange.</w:t>
            </w:r>
          </w:p>
          <w:p w14:paraId="0E77DBA5" w14:textId="4E225457" w:rsidR="00B271B6" w:rsidRPr="000F779A" w:rsidRDefault="00B271B6" w:rsidP="00A72C8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Disclosure of the data is not prohibited by other applicable law.</w:t>
            </w:r>
          </w:p>
          <w:p w14:paraId="430D59BC" w14:textId="72E13812" w:rsidR="00B271B6" w:rsidRPr="000F779A" w:rsidRDefault="00F01B8B" w:rsidP="00A72C87">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w:t>
            </w:r>
            <w:r w:rsidR="00BD63D1" w:rsidRPr="000F779A">
              <w:rPr>
                <w:rFonts w:asciiTheme="minorHAnsi" w:eastAsia="Calibri" w:hAnsiTheme="minorHAnsi" w:cstheme="minorHAnsi"/>
                <w:b/>
                <w:bCs/>
                <w:sz w:val="22"/>
                <w:szCs w:val="22"/>
              </w:rPr>
              <w:t>b)</w:t>
            </w:r>
            <w:r w:rsidR="00B271B6" w:rsidRPr="000F779A">
              <w:rPr>
                <w:rFonts w:asciiTheme="minorHAnsi" w:eastAsia="Calibri" w:hAnsiTheme="minorHAnsi" w:cstheme="minorHAnsi"/>
                <w:b/>
                <w:bCs/>
                <w:sz w:val="22"/>
                <w:szCs w:val="22"/>
              </w:rPr>
              <w:t>(6)</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Concurrent coverage data exchange requirements. </w:t>
            </w:r>
            <w:r w:rsidR="00B271B6" w:rsidRPr="000F779A">
              <w:rPr>
                <w:rFonts w:asciiTheme="minorHAnsi" w:eastAsia="Calibri" w:hAnsiTheme="minorHAnsi" w:cstheme="minorHAnsi"/>
                <w:sz w:val="22"/>
                <w:szCs w:val="22"/>
              </w:rPr>
              <w:t xml:space="preserve">When a beneficiary has provided sufficient identifying information about concurrent payers and has opted in as described in paragraph (b)(2) of this section, a </w:t>
            </w:r>
            <w:r w:rsidR="00D20C60" w:rsidRPr="000F779A">
              <w:rPr>
                <w:rFonts w:asciiTheme="minorHAnsi" w:eastAsia="Calibri" w:hAnsiTheme="minorHAnsi" w:cstheme="minorHAnsi"/>
                <w:sz w:val="22"/>
                <w:szCs w:val="22"/>
              </w:rPr>
              <w:t>state</w:t>
            </w:r>
            <w:r w:rsidR="00B271B6" w:rsidRPr="000F779A">
              <w:rPr>
                <w:rFonts w:asciiTheme="minorHAnsi" w:eastAsia="Calibri" w:hAnsiTheme="minorHAnsi" w:cstheme="minorHAnsi"/>
                <w:sz w:val="22"/>
                <w:szCs w:val="22"/>
              </w:rPr>
              <w:t xml:space="preserve"> must do the following, through the API required in paragraph (b)(1) of this section:</w:t>
            </w:r>
          </w:p>
          <w:p w14:paraId="14FD9EAF" w14:textId="097BD759" w:rsidR="00B271B6" w:rsidRPr="000F779A" w:rsidRDefault="00B271B6" w:rsidP="00A72C8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Request the beneficiary’s data from all known concurrent payers as described in paragraph (b)(4) of this section, and at least quarterly thereafter while the beneficiary is enrolled with both payers.</w:t>
            </w:r>
          </w:p>
          <w:p w14:paraId="23E0D2FC" w14:textId="0439BB00"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Respond as described in paragraph (b)(5) of this section within 1 business day of a request from any concurrent payers. If agreed upon with the </w:t>
            </w:r>
            <w:r w:rsidRPr="000F779A">
              <w:rPr>
                <w:rFonts w:asciiTheme="minorHAnsi" w:eastAsia="Calibri" w:hAnsiTheme="minorHAnsi" w:cstheme="minorHAnsi"/>
                <w:sz w:val="22"/>
                <w:szCs w:val="22"/>
              </w:rPr>
              <w:lastRenderedPageBreak/>
              <w:t xml:space="preserve">requesting payer,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may exclude any data that were previously sent to or originally received from the concurrent payer.</w:t>
            </w:r>
          </w:p>
          <w:p w14:paraId="47F5784B" w14:textId="469CD4E6" w:rsidR="00B271B6" w:rsidRPr="000F779A" w:rsidRDefault="00BD63D1" w:rsidP="00BB2CBB">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00B271B6" w:rsidRPr="000F779A">
              <w:rPr>
                <w:rFonts w:asciiTheme="minorHAnsi" w:eastAsia="Calibri" w:hAnsiTheme="minorHAnsi" w:cstheme="minorHAnsi"/>
                <w:b/>
                <w:bCs/>
                <w:sz w:val="22"/>
                <w:szCs w:val="22"/>
              </w:rPr>
              <w:t>(7)</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Patient educational resources. </w:t>
            </w:r>
            <w:r w:rsidR="00B271B6" w:rsidRPr="000F779A">
              <w:rPr>
                <w:rFonts w:asciiTheme="minorHAnsi" w:eastAsia="Calibri" w:hAnsiTheme="minorHAnsi" w:cstheme="minorHAnsi"/>
                <w:sz w:val="22"/>
                <w:szCs w:val="22"/>
              </w:rPr>
              <w:t xml:space="preserve">Provide information to applicants or beneficiaries in plain language, explaining at a minimum: the benefits of Payer-to-Payer API data exchange, their ability to opt in or withdraw that permission, and instructions for doing so. The </w:t>
            </w:r>
            <w:r w:rsidR="00D20C60" w:rsidRPr="000F779A">
              <w:rPr>
                <w:rFonts w:asciiTheme="minorHAnsi" w:eastAsia="Calibri" w:hAnsiTheme="minorHAnsi" w:cstheme="minorHAnsi"/>
                <w:sz w:val="22"/>
                <w:szCs w:val="22"/>
              </w:rPr>
              <w:t>state</w:t>
            </w:r>
            <w:r w:rsidR="00B271B6" w:rsidRPr="000F779A">
              <w:rPr>
                <w:rFonts w:asciiTheme="minorHAnsi" w:eastAsia="Calibri" w:hAnsiTheme="minorHAnsi" w:cstheme="minorHAnsi"/>
                <w:sz w:val="22"/>
                <w:szCs w:val="22"/>
              </w:rPr>
              <w:t xml:space="preserve"> must provide the following resources:</w:t>
            </w:r>
          </w:p>
          <w:p w14:paraId="44CC273C" w14:textId="6C107387"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When requesting a beneficiary’s permission for Payer-to-Payer API data exchange, as described in paragraph (b)(2) of this section.</w:t>
            </w:r>
          </w:p>
          <w:p w14:paraId="74BA0121" w14:textId="0FC68AF2"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At least annually, in appropriate mechanisms through which it ordinarily communicates with current beneficiaries.</w:t>
            </w:r>
          </w:p>
          <w:p w14:paraId="1ECA570F" w14:textId="77777777"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(iii) In an easily accessible location on</w:t>
            </w:r>
          </w:p>
          <w:p w14:paraId="537AAEE4" w14:textId="77777777"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its public website.</w:t>
            </w:r>
          </w:p>
          <w:p w14:paraId="26D85C5B" w14:textId="77777777" w:rsidR="00B271B6" w:rsidRPr="000F779A" w:rsidRDefault="00B271B6" w:rsidP="00E70047">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(c)</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Extensions and exemptions</w:t>
            </w:r>
            <w:r w:rsidRPr="000F779A">
              <w:rPr>
                <w:rFonts w:asciiTheme="minorHAnsi" w:eastAsia="Calibri" w:hAnsiTheme="minorHAnsi" w:cstheme="minorHAnsi"/>
                <w:sz w:val="22"/>
                <w:szCs w:val="22"/>
              </w:rPr>
              <w:t>—</w:t>
            </w:r>
          </w:p>
          <w:p w14:paraId="0590BA28" w14:textId="7F595105" w:rsidR="00B271B6" w:rsidRPr="000F779A" w:rsidRDefault="007C56D5" w:rsidP="00E70047">
            <w:pPr>
              <w:spacing w:before="40" w:after="40"/>
              <w:rPr>
                <w:rFonts w:asciiTheme="minorHAnsi" w:eastAsia="Calibri" w:hAnsiTheme="minorHAnsi" w:cstheme="minorHAnsi"/>
                <w:i/>
                <w:iCs/>
                <w:sz w:val="22"/>
                <w:szCs w:val="22"/>
              </w:rPr>
            </w:pPr>
            <w:r w:rsidRPr="000F779A">
              <w:rPr>
                <w:rFonts w:asciiTheme="minorHAnsi" w:eastAsia="Calibri" w:hAnsiTheme="minorHAnsi" w:cstheme="minorHAnsi"/>
                <w:b/>
                <w:bCs/>
                <w:sz w:val="22"/>
                <w:szCs w:val="22"/>
              </w:rPr>
              <w:t>(c)</w:t>
            </w:r>
            <w:r w:rsidR="00B271B6" w:rsidRPr="000F779A">
              <w:rPr>
                <w:rFonts w:asciiTheme="minorHAnsi" w:eastAsia="Calibri" w:hAnsiTheme="minorHAnsi" w:cstheme="minorHAnsi"/>
                <w:b/>
                <w:bCs/>
                <w:sz w:val="22"/>
                <w:szCs w:val="22"/>
              </w:rPr>
              <w:t>(1)</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Extension. </w:t>
            </w:r>
          </w:p>
          <w:p w14:paraId="43BD0898" w14:textId="18066CF4"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may submit a written application to request a onetime, 1-year extension of the requirements in paragraph (a) or (b) of this section (or paragraphs (a) and (b)) for its Medicaid fee-for-service (FFS) program. The written application must be submitted as part of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’s annual Advance Planning Document (APD) for Medicaid Management Information System (MMIS) operations expenditures described in part 433, subpart C, of this chapter, and approved before the compliance date for the requirements to which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is seeking an extension. It must include all the following:</w:t>
            </w:r>
          </w:p>
          <w:p w14:paraId="7F80C4EE" w14:textId="7ECC82EA" w:rsidR="00B271B6" w:rsidRPr="000F779A" w:rsidRDefault="00B271B6" w:rsidP="00AA1025">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A narrative justification describing the specific reasons why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cannot satisfy the requirement(s) by the compliance date and why those reasons result from circumstances that are unique to the agency operating the Medicaid FFS program.</w:t>
            </w:r>
          </w:p>
          <w:p w14:paraId="432FD33D" w14:textId="2701C3EA" w:rsidR="00B271B6" w:rsidRPr="000F779A" w:rsidRDefault="00B271B6" w:rsidP="00DC4B11">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(B) A report on completed and ongoing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activities that evidence a good faith effort towards compliance.</w:t>
            </w:r>
          </w:p>
          <w:p w14:paraId="05F37949" w14:textId="75773C3B" w:rsidR="00B271B6" w:rsidRPr="000F779A" w:rsidRDefault="00B271B6" w:rsidP="00DC4B11">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A comprehensive plan to meet the requirements no later than 1 year after the compliance date.</w:t>
            </w:r>
          </w:p>
          <w:p w14:paraId="29185933" w14:textId="0051AE8A"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CMS grants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request if</w:t>
            </w:r>
            <w:r w:rsidR="00636E4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it determines, based on the information</w:t>
            </w:r>
          </w:p>
          <w:p w14:paraId="2622B014" w14:textId="77777777" w:rsidR="00B271B6" w:rsidRPr="000F779A" w:rsidRDefault="00B271B6" w:rsidP="002227CD">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provided, that—</w:t>
            </w:r>
          </w:p>
          <w:p w14:paraId="12919219" w14:textId="47091276" w:rsidR="00B271B6" w:rsidRPr="000F779A" w:rsidRDefault="00B271B6" w:rsidP="00BD6E7B">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The request adequately establishes a need to delay implementation; and (B)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has a comprehensive plan to meet the requirements no later than 1 year after the compliance date.</w:t>
            </w:r>
          </w:p>
          <w:p w14:paraId="74EDE6CD" w14:textId="7F89DF09" w:rsidR="00B271B6" w:rsidRPr="000F779A" w:rsidRDefault="007C56D5" w:rsidP="002A11B9">
            <w:pPr>
              <w:spacing w:before="40" w:after="40"/>
              <w:rPr>
                <w:rFonts w:asciiTheme="minorHAnsi" w:eastAsia="Calibri" w:hAnsiTheme="minorHAnsi" w:cstheme="minorHAnsi"/>
                <w:i/>
                <w:iCs/>
                <w:sz w:val="22"/>
                <w:szCs w:val="22"/>
              </w:rPr>
            </w:pPr>
            <w:r w:rsidRPr="000F779A">
              <w:rPr>
                <w:rFonts w:asciiTheme="minorHAnsi" w:eastAsia="Calibri" w:hAnsiTheme="minorHAnsi" w:cstheme="minorHAnsi"/>
                <w:b/>
                <w:bCs/>
                <w:sz w:val="22"/>
                <w:szCs w:val="22"/>
              </w:rPr>
              <w:t>(c)</w:t>
            </w:r>
            <w:r w:rsidR="00B271B6" w:rsidRPr="000F779A">
              <w:rPr>
                <w:rFonts w:asciiTheme="minorHAnsi" w:eastAsia="Calibri" w:hAnsiTheme="minorHAnsi" w:cstheme="minorHAnsi"/>
                <w:b/>
                <w:bCs/>
                <w:sz w:val="22"/>
                <w:szCs w:val="22"/>
              </w:rPr>
              <w:t>(2)</w:t>
            </w:r>
            <w:r w:rsidR="00B271B6" w:rsidRPr="000F779A">
              <w:rPr>
                <w:rFonts w:asciiTheme="minorHAnsi" w:eastAsia="Calibri" w:hAnsiTheme="minorHAnsi" w:cstheme="minorHAnsi"/>
                <w:sz w:val="22"/>
                <w:szCs w:val="22"/>
              </w:rPr>
              <w:t xml:space="preserve"> </w:t>
            </w:r>
            <w:r w:rsidR="00B271B6" w:rsidRPr="000F779A">
              <w:rPr>
                <w:rFonts w:asciiTheme="minorHAnsi" w:eastAsia="Calibri" w:hAnsiTheme="minorHAnsi" w:cstheme="minorHAnsi"/>
                <w:i/>
                <w:iCs/>
                <w:sz w:val="22"/>
                <w:szCs w:val="22"/>
              </w:rPr>
              <w:t xml:space="preserve">Exemption. </w:t>
            </w:r>
          </w:p>
          <w:p w14:paraId="6B8A9604" w14:textId="0CEB0536" w:rsidR="00B271B6" w:rsidRPr="000F779A" w:rsidRDefault="00B271B6" w:rsidP="00F26311">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operating a Medicaid program in which at least 90 percent of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Medicaid beneficiaries are enrolled in Medicaid managed care organizations, as defined in §438.2 of this chapter, may request an exemption for its FFS program from either or both of the following</w:t>
            </w:r>
          </w:p>
          <w:p w14:paraId="3EA9FDF5" w14:textId="77777777" w:rsidR="00B271B6" w:rsidRPr="000F779A" w:rsidRDefault="00B271B6" w:rsidP="00F26311">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requirement(s):</w:t>
            </w:r>
          </w:p>
          <w:p w14:paraId="1A806611" w14:textId="77777777" w:rsidR="00B271B6" w:rsidRPr="000F779A" w:rsidRDefault="00B271B6" w:rsidP="000211D2">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Paragraph (a) of this section.</w:t>
            </w:r>
          </w:p>
          <w:p w14:paraId="66337C55" w14:textId="2B3B0C81" w:rsidR="00B271B6" w:rsidRPr="000F779A" w:rsidRDefault="00B271B6" w:rsidP="000211D2">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Paragraphs (b)(1) and (3) through (7) of this section.</w:t>
            </w:r>
          </w:p>
          <w:p w14:paraId="055F96A1" w14:textId="6D1A124E" w:rsidR="00B271B6" w:rsidRPr="000F779A" w:rsidRDefault="00B271B6" w:rsidP="00F26311">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exemption request</w:t>
            </w:r>
            <w:r w:rsidR="00A14FC5"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must:</w:t>
            </w:r>
          </w:p>
          <w:p w14:paraId="024982D0" w14:textId="0E880246" w:rsidR="00B271B6" w:rsidRPr="000F779A" w:rsidRDefault="00B271B6" w:rsidP="008D0828">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Be submitted in writing as part of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’s annual APD for MMIS operations expenditures before the compliance date for the requirements to which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is seeking an exemption.</w:t>
            </w:r>
          </w:p>
          <w:p w14:paraId="5016EE16" w14:textId="77777777" w:rsidR="00B271B6" w:rsidRPr="000F779A" w:rsidRDefault="00B271B6" w:rsidP="008D0828">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 Include both of the following: </w:t>
            </w:r>
          </w:p>
          <w:p w14:paraId="6C8DA65E" w14:textId="34FC8C93" w:rsidR="00B271B6" w:rsidRPr="000F779A" w:rsidRDefault="00B271B6" w:rsidP="008D0828">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xml:space="preserve">) Documentation that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meets the threshold for the exemption, based on enrollment data from the most recent CMS ‘‘Medicaid Managed Care Enrollment and Program Characteristics’’ (or successor) report.</w:t>
            </w:r>
          </w:p>
          <w:p w14:paraId="501AECB4" w14:textId="7CFBA111" w:rsidR="00B271B6" w:rsidRPr="000F779A" w:rsidRDefault="00B271B6" w:rsidP="008D0828">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An alternative plan to ensure that enrolled providers will have efficient electronic access to the same information through other means while the exemption is in effect.</w:t>
            </w:r>
          </w:p>
          <w:p w14:paraId="57F9BFB4" w14:textId="797DCD8D" w:rsidR="00B271B6" w:rsidRPr="000F779A" w:rsidRDefault="00B271B6" w:rsidP="00F26311">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(iii) CMS grants the exemption if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establishes to CMS’s satisfaction that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w:t>
            </w:r>
          </w:p>
          <w:p w14:paraId="597795E7" w14:textId="27CC82AE" w:rsidR="00B271B6" w:rsidRPr="000F779A" w:rsidRDefault="00B271B6" w:rsidP="008D0828">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Meets the threshold for the exemption; and</w:t>
            </w:r>
          </w:p>
          <w:p w14:paraId="2B3318A0" w14:textId="5A34C821" w:rsidR="00B271B6" w:rsidRPr="000F779A" w:rsidRDefault="00B271B6" w:rsidP="002B14A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Has established an alternative plan to ensure that enrolled providers will have efficient electronic access to the same information through other means while the exemption is in effect.</w:t>
            </w:r>
          </w:p>
          <w:p w14:paraId="7AB77487" w14:textId="3B8B7BBF" w:rsidR="00B271B6" w:rsidRPr="000F779A" w:rsidRDefault="00B271B6" w:rsidP="00F26311">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(iv)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exemption expires if</w:t>
            </w:r>
            <w:r w:rsidR="00A14FC5"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either—</w:t>
            </w:r>
          </w:p>
          <w:p w14:paraId="7D18CAB5" w14:textId="1EF67BB0" w:rsidR="00B271B6" w:rsidRPr="000F779A" w:rsidRDefault="00B271B6" w:rsidP="002B14A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Based on the 3 previous years of available, finalized Medicaid Transformed Medicaid Statistical Information System (T–MSIS) managed care and FFS enrollment data,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managed care enrollment for 2 of the previous 3 years is below 90 percent; or</w:t>
            </w:r>
          </w:p>
          <w:p w14:paraId="0805FF2C" w14:textId="52D22A0A" w:rsidR="00B271B6" w:rsidRPr="000F779A" w:rsidRDefault="00B271B6" w:rsidP="002B14A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xml:space="preserve">) CMS has approved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plan amendment, waiver, or waiver amendment that would significantly reduce the percentage of beneficiaries enrolled in managed care; and </w:t>
            </w:r>
          </w:p>
          <w:p w14:paraId="6B28ABA0" w14:textId="77777777" w:rsidR="00B271B6" w:rsidRPr="000F779A" w:rsidRDefault="00B271B6" w:rsidP="002B14A7">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xml:space="preserve">) The anticipated shift in enrollment is confirmed by the first available, finalized Medicaid T–MSIS managed care and FFS enrollment data. </w:t>
            </w:r>
          </w:p>
          <w:p w14:paraId="5F42BC46" w14:textId="1339C68D" w:rsidR="00B271B6" w:rsidRPr="000F779A" w:rsidRDefault="00B271B6" w:rsidP="00FC5FEE">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(v) If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’s exemption expires under paragraph (c)(2)(iv) of this section,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is required to do both of the following—</w:t>
            </w:r>
          </w:p>
          <w:p w14:paraId="2DA134FA" w14:textId="663A1B91" w:rsidR="00B271B6" w:rsidRPr="000F779A" w:rsidRDefault="00B271B6" w:rsidP="002208AE">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Submit written notification to CMS that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no longer qualifies for the exemption within 90 days of the finalization of annual Medicaid T–MSIS managed care enrollment data that demonstrates that there has been the requisite shift from managed care enrollment to FFS enrollment </w:t>
            </w:r>
            <w:r w:rsidRPr="000F779A">
              <w:rPr>
                <w:rFonts w:asciiTheme="minorHAnsi" w:eastAsia="Calibri" w:hAnsiTheme="minorHAnsi" w:cstheme="minorHAnsi"/>
                <w:sz w:val="22"/>
                <w:szCs w:val="22"/>
              </w:rPr>
              <w:lastRenderedPageBreak/>
              <w:t xml:space="preserve">resulting in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managed care enrollment falling below the 90 percent threshold.</w:t>
            </w:r>
          </w:p>
          <w:p w14:paraId="7EF49016" w14:textId="45FC6FE9" w:rsidR="00B271B6" w:rsidRPr="000F779A" w:rsidRDefault="00B271B6" w:rsidP="00B8529D">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Obtain CMS approval of a timeline for compliance with the requirements in paragraph (a) or (b) (or paragraph0s (a) and (b)) of this section within 2 years of the expiration of the exemption.</w:t>
            </w:r>
          </w:p>
        </w:tc>
        <w:tc>
          <w:tcPr>
            <w:tcW w:w="4140" w:type="dxa"/>
            <w:shd w:val="clear" w:color="auto" w:fill="auto"/>
          </w:tcPr>
          <w:p w14:paraId="63477C8D" w14:textId="1E23FC2A" w:rsidR="00B271B6" w:rsidRPr="000F779A" w:rsidRDefault="007E7F05" w:rsidP="007C459F">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Provider Access API i</w:t>
            </w:r>
            <w:r w:rsidR="002C2277" w:rsidRPr="000F779A">
              <w:rPr>
                <w:rFonts w:asciiTheme="minorHAnsi" w:eastAsia="Calibri" w:hAnsiTheme="minorHAnsi" w:cstheme="minorHAnsi"/>
                <w:sz w:val="22"/>
                <w:szCs w:val="22"/>
              </w:rPr>
              <w:t>s</w:t>
            </w:r>
            <w:r w:rsidRPr="000F779A">
              <w:rPr>
                <w:rFonts w:asciiTheme="minorHAnsi" w:eastAsia="Calibri" w:hAnsiTheme="minorHAnsi" w:cstheme="minorHAnsi"/>
                <w:sz w:val="22"/>
                <w:szCs w:val="22"/>
              </w:rPr>
              <w:t xml:space="preserve"> new in this rule </w:t>
            </w:r>
            <w:r w:rsidR="00514CBD" w:rsidRPr="000F779A">
              <w:rPr>
                <w:rFonts w:asciiTheme="minorHAnsi" w:eastAsia="Calibri" w:hAnsiTheme="minorHAnsi" w:cstheme="minorHAnsi"/>
                <w:sz w:val="22"/>
                <w:szCs w:val="22"/>
              </w:rPr>
              <w:t>and</w:t>
            </w:r>
            <w:r w:rsidRPr="000F779A">
              <w:rPr>
                <w:rFonts w:asciiTheme="minorHAnsi" w:eastAsia="Calibri" w:hAnsiTheme="minorHAnsi" w:cstheme="minorHAnsi"/>
                <w:sz w:val="22"/>
                <w:szCs w:val="22"/>
              </w:rPr>
              <w:t xml:space="preserve"> require</w:t>
            </w:r>
            <w:r w:rsidR="00514CBD" w:rsidRPr="000F779A">
              <w:rPr>
                <w:rFonts w:asciiTheme="minorHAnsi" w:eastAsia="Calibri" w:hAnsiTheme="minorHAnsi" w:cstheme="minorHAnsi"/>
                <w:sz w:val="22"/>
                <w:szCs w:val="22"/>
              </w:rPr>
              <w:t>s</w:t>
            </w:r>
            <w:r w:rsidRPr="000F779A">
              <w:rPr>
                <w:rFonts w:asciiTheme="minorHAnsi" w:eastAsia="Calibri" w:hAnsiTheme="minorHAnsi" w:cstheme="minorHAnsi"/>
                <w:sz w:val="22"/>
                <w:szCs w:val="22"/>
              </w:rPr>
              <w:t xml:space="preserve"> </w:t>
            </w:r>
            <w:r w:rsidR="00F35B78" w:rsidRPr="000F779A">
              <w:rPr>
                <w:rFonts w:asciiTheme="minorHAnsi" w:eastAsia="Calibri" w:hAnsiTheme="minorHAnsi" w:cstheme="minorHAnsi"/>
                <w:sz w:val="22"/>
                <w:szCs w:val="22"/>
              </w:rPr>
              <w:t xml:space="preserve">payer </w:t>
            </w:r>
            <w:r w:rsidR="002C1CA5" w:rsidRPr="000F779A">
              <w:rPr>
                <w:rFonts w:asciiTheme="minorHAnsi" w:eastAsia="Calibri" w:hAnsiTheme="minorHAnsi" w:cstheme="minorHAnsi"/>
                <w:sz w:val="22"/>
                <w:szCs w:val="22"/>
              </w:rPr>
              <w:t xml:space="preserve">to provider </w:t>
            </w:r>
            <w:r w:rsidR="00F35B78" w:rsidRPr="000F779A">
              <w:rPr>
                <w:rFonts w:asciiTheme="minorHAnsi" w:eastAsia="Calibri" w:hAnsiTheme="minorHAnsi" w:cstheme="minorHAnsi"/>
                <w:sz w:val="22"/>
                <w:szCs w:val="22"/>
              </w:rPr>
              <w:t xml:space="preserve">and </w:t>
            </w:r>
            <w:r w:rsidR="002C46F8" w:rsidRPr="000F779A">
              <w:rPr>
                <w:rFonts w:asciiTheme="minorHAnsi" w:eastAsia="Calibri" w:hAnsiTheme="minorHAnsi" w:cstheme="minorHAnsi"/>
                <w:sz w:val="22"/>
                <w:szCs w:val="22"/>
              </w:rPr>
              <w:t>payer</w:t>
            </w:r>
            <w:r w:rsidR="00F35B78" w:rsidRPr="000F779A">
              <w:rPr>
                <w:rFonts w:asciiTheme="minorHAnsi" w:eastAsia="Calibri" w:hAnsiTheme="minorHAnsi" w:cstheme="minorHAnsi"/>
                <w:sz w:val="22"/>
                <w:szCs w:val="22"/>
              </w:rPr>
              <w:t xml:space="preserve"> to </w:t>
            </w:r>
            <w:r w:rsidR="005943C3" w:rsidRPr="000F779A">
              <w:rPr>
                <w:rFonts w:asciiTheme="minorHAnsi" w:eastAsia="Calibri" w:hAnsiTheme="minorHAnsi" w:cstheme="minorHAnsi"/>
                <w:sz w:val="22"/>
                <w:szCs w:val="22"/>
              </w:rPr>
              <w:t>payer</w:t>
            </w:r>
            <w:r w:rsidR="00F35B78" w:rsidRPr="000F779A">
              <w:rPr>
                <w:rFonts w:asciiTheme="minorHAnsi" w:eastAsia="Calibri" w:hAnsiTheme="minorHAnsi" w:cstheme="minorHAnsi"/>
                <w:sz w:val="22"/>
                <w:szCs w:val="22"/>
              </w:rPr>
              <w:t xml:space="preserve"> </w:t>
            </w:r>
            <w:r w:rsidR="002C1CA5" w:rsidRPr="000F779A">
              <w:rPr>
                <w:rFonts w:asciiTheme="minorHAnsi" w:eastAsia="Calibri" w:hAnsiTheme="minorHAnsi" w:cstheme="minorHAnsi"/>
                <w:sz w:val="22"/>
                <w:szCs w:val="22"/>
              </w:rPr>
              <w:t>exchange of information</w:t>
            </w:r>
            <w:r w:rsidR="00514CBD" w:rsidRPr="000F779A">
              <w:rPr>
                <w:rFonts w:asciiTheme="minorHAnsi" w:eastAsia="Calibri" w:hAnsiTheme="minorHAnsi" w:cstheme="minorHAnsi"/>
                <w:sz w:val="22"/>
                <w:szCs w:val="22"/>
              </w:rPr>
              <w:t xml:space="preserve"> through a </w:t>
            </w:r>
            <w:r w:rsidR="00E63AFE" w:rsidRPr="000F779A">
              <w:rPr>
                <w:rFonts w:asciiTheme="minorHAnsi" w:eastAsia="Calibri" w:hAnsiTheme="minorHAnsi" w:cstheme="minorHAnsi"/>
                <w:sz w:val="22"/>
                <w:szCs w:val="22"/>
              </w:rPr>
              <w:t>P</w:t>
            </w:r>
            <w:r w:rsidR="00514CBD" w:rsidRPr="000F779A">
              <w:rPr>
                <w:rFonts w:asciiTheme="minorHAnsi" w:eastAsia="Calibri" w:hAnsiTheme="minorHAnsi" w:cstheme="minorHAnsi"/>
                <w:sz w:val="22"/>
                <w:szCs w:val="22"/>
              </w:rPr>
              <w:t xml:space="preserve">rovider </w:t>
            </w:r>
            <w:r w:rsidR="00E63AFE" w:rsidRPr="000F779A">
              <w:rPr>
                <w:rFonts w:asciiTheme="minorHAnsi" w:eastAsia="Calibri" w:hAnsiTheme="minorHAnsi" w:cstheme="minorHAnsi"/>
                <w:sz w:val="22"/>
                <w:szCs w:val="22"/>
              </w:rPr>
              <w:t>A</w:t>
            </w:r>
            <w:r w:rsidR="00514CBD" w:rsidRPr="000F779A">
              <w:rPr>
                <w:rFonts w:asciiTheme="minorHAnsi" w:eastAsia="Calibri" w:hAnsiTheme="minorHAnsi" w:cstheme="minorHAnsi"/>
                <w:sz w:val="22"/>
                <w:szCs w:val="22"/>
              </w:rPr>
              <w:t>cce</w:t>
            </w:r>
            <w:r w:rsidR="009E7B0B" w:rsidRPr="000F779A">
              <w:rPr>
                <w:rFonts w:asciiTheme="minorHAnsi" w:eastAsia="Calibri" w:hAnsiTheme="minorHAnsi" w:cstheme="minorHAnsi"/>
                <w:sz w:val="22"/>
                <w:szCs w:val="22"/>
              </w:rPr>
              <w:t>ss API</w:t>
            </w:r>
            <w:r w:rsidR="002C1CA5" w:rsidRPr="000F779A">
              <w:rPr>
                <w:rFonts w:asciiTheme="minorHAnsi" w:eastAsia="Calibri" w:hAnsiTheme="minorHAnsi" w:cstheme="minorHAnsi"/>
                <w:sz w:val="22"/>
                <w:szCs w:val="22"/>
              </w:rPr>
              <w:t>.</w:t>
            </w:r>
          </w:p>
          <w:p w14:paraId="37215C31" w14:textId="77777777" w:rsidR="00877F49" w:rsidRPr="000F779A" w:rsidRDefault="00877F49" w:rsidP="00877F49">
            <w:pPr>
              <w:pStyle w:val="ListParagraph"/>
              <w:numPr>
                <w:ilvl w:val="0"/>
                <w:numId w:val="24"/>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At least quarterly</w:t>
            </w:r>
            <w:r w:rsidR="00F8199C" w:rsidRPr="000F779A">
              <w:rPr>
                <w:rFonts w:asciiTheme="minorHAnsi" w:eastAsia="Calibri" w:hAnsiTheme="minorHAnsi" w:cstheme="minorHAnsi"/>
                <w:sz w:val="22"/>
                <w:szCs w:val="22"/>
              </w:rPr>
              <w:t>.</w:t>
            </w:r>
          </w:p>
          <w:p w14:paraId="12C168AF" w14:textId="5AE7CF09" w:rsidR="00F8199C" w:rsidRPr="000F779A" w:rsidRDefault="00CE6000" w:rsidP="00877F49">
            <w:pPr>
              <w:pStyle w:val="ListParagraph"/>
              <w:numPr>
                <w:ilvl w:val="0"/>
                <w:numId w:val="24"/>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Back to service </w:t>
            </w:r>
            <w:r w:rsidR="0034332C" w:rsidRPr="000F779A">
              <w:rPr>
                <w:rFonts w:asciiTheme="minorHAnsi" w:eastAsia="Calibri" w:hAnsiTheme="minorHAnsi" w:cstheme="minorHAnsi"/>
                <w:sz w:val="22"/>
                <w:szCs w:val="22"/>
              </w:rPr>
              <w:t>date of January 1</w:t>
            </w:r>
            <w:r w:rsidR="00CE0E51" w:rsidRPr="000F779A">
              <w:rPr>
                <w:rFonts w:asciiTheme="minorHAnsi" w:eastAsia="Calibri" w:hAnsiTheme="minorHAnsi" w:cstheme="minorHAnsi"/>
                <w:sz w:val="22"/>
                <w:szCs w:val="22"/>
              </w:rPr>
              <w:t>,</w:t>
            </w:r>
            <w:r w:rsidR="0034332C" w:rsidRPr="000F779A">
              <w:rPr>
                <w:rFonts w:asciiTheme="minorHAnsi" w:eastAsia="Calibri" w:hAnsiTheme="minorHAnsi" w:cstheme="minorHAnsi"/>
                <w:sz w:val="22"/>
                <w:szCs w:val="22"/>
              </w:rPr>
              <w:t xml:space="preserve"> 2016 (except prior </w:t>
            </w:r>
            <w:r w:rsidR="003D72F2" w:rsidRPr="000F779A">
              <w:rPr>
                <w:rFonts w:asciiTheme="minorHAnsi" w:eastAsia="Calibri" w:hAnsiTheme="minorHAnsi" w:cstheme="minorHAnsi"/>
                <w:sz w:val="22"/>
                <w:szCs w:val="22"/>
              </w:rPr>
              <w:t>authorization data, which is one year).</w:t>
            </w:r>
          </w:p>
          <w:p w14:paraId="2F791918" w14:textId="3A3271C7" w:rsidR="002102D7" w:rsidRPr="000F779A" w:rsidRDefault="002102D7" w:rsidP="00877F49">
            <w:pPr>
              <w:pStyle w:val="ListParagraph"/>
              <w:numPr>
                <w:ilvl w:val="0"/>
                <w:numId w:val="24"/>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Payers must respond to a request for patient data via the </w:t>
            </w:r>
            <w:r w:rsidR="00AB182D" w:rsidRPr="000F779A">
              <w:rPr>
                <w:rFonts w:asciiTheme="minorHAnsi" w:eastAsia="Calibri" w:hAnsiTheme="minorHAnsi" w:cstheme="minorHAnsi"/>
                <w:sz w:val="22"/>
                <w:szCs w:val="22"/>
              </w:rPr>
              <w:t>Provider</w:t>
            </w:r>
            <w:r w:rsidRPr="000F779A">
              <w:rPr>
                <w:rFonts w:asciiTheme="minorHAnsi" w:eastAsia="Calibri" w:hAnsiTheme="minorHAnsi" w:cstheme="minorHAnsi"/>
                <w:sz w:val="22"/>
                <w:szCs w:val="22"/>
              </w:rPr>
              <w:t xml:space="preserve"> </w:t>
            </w:r>
            <w:r w:rsidR="00AB182D" w:rsidRPr="000F779A">
              <w:rPr>
                <w:rFonts w:asciiTheme="minorHAnsi" w:eastAsia="Calibri" w:hAnsiTheme="minorHAnsi" w:cstheme="minorHAnsi"/>
                <w:sz w:val="22"/>
                <w:szCs w:val="22"/>
              </w:rPr>
              <w:t>A</w:t>
            </w:r>
            <w:r w:rsidRPr="000F779A">
              <w:rPr>
                <w:rFonts w:asciiTheme="minorHAnsi" w:eastAsia="Calibri" w:hAnsiTheme="minorHAnsi" w:cstheme="minorHAnsi"/>
                <w:sz w:val="22"/>
                <w:szCs w:val="22"/>
              </w:rPr>
              <w:t xml:space="preserve">ccess </w:t>
            </w:r>
            <w:r w:rsidR="00CE0E51" w:rsidRPr="000F779A">
              <w:rPr>
                <w:rFonts w:asciiTheme="minorHAnsi" w:eastAsia="Calibri" w:hAnsiTheme="minorHAnsi" w:cstheme="minorHAnsi"/>
                <w:sz w:val="22"/>
                <w:szCs w:val="22"/>
              </w:rPr>
              <w:t>API</w:t>
            </w:r>
            <w:r w:rsidRPr="000F779A">
              <w:rPr>
                <w:rFonts w:asciiTheme="minorHAnsi" w:eastAsia="Calibri" w:hAnsiTheme="minorHAnsi" w:cstheme="minorHAnsi"/>
                <w:sz w:val="22"/>
                <w:szCs w:val="22"/>
              </w:rPr>
              <w:t xml:space="preserve"> within one bus</w:t>
            </w:r>
            <w:r w:rsidR="001B6A90" w:rsidRPr="000F779A">
              <w:rPr>
                <w:rFonts w:asciiTheme="minorHAnsi" w:eastAsia="Calibri" w:hAnsiTheme="minorHAnsi" w:cstheme="minorHAnsi"/>
                <w:sz w:val="22"/>
                <w:szCs w:val="22"/>
              </w:rPr>
              <w:t>iness day of the request.</w:t>
            </w:r>
          </w:p>
          <w:p w14:paraId="740DDBD9" w14:textId="4D809174" w:rsidR="00EA4756" w:rsidRPr="000F779A" w:rsidRDefault="00EA4756" w:rsidP="00877F49">
            <w:pPr>
              <w:pStyle w:val="ListParagraph"/>
              <w:numPr>
                <w:ilvl w:val="0"/>
                <w:numId w:val="24"/>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While Patient Access and Provider Access APIs use and opt out approach, opt in approach is used for the payer to payer API</w:t>
            </w:r>
            <w:r w:rsidR="0021121D" w:rsidRPr="000F779A">
              <w:rPr>
                <w:rFonts w:asciiTheme="minorHAnsi" w:eastAsia="Calibri" w:hAnsiTheme="minorHAnsi" w:cstheme="minorHAnsi"/>
                <w:sz w:val="22"/>
                <w:szCs w:val="22"/>
              </w:rPr>
              <w:t xml:space="preserve"> (except in Medi</w:t>
            </w:r>
            <w:r w:rsidR="00390958" w:rsidRPr="000F779A">
              <w:rPr>
                <w:rFonts w:asciiTheme="minorHAnsi" w:eastAsia="Calibri" w:hAnsiTheme="minorHAnsi" w:cstheme="minorHAnsi"/>
                <w:sz w:val="22"/>
                <w:szCs w:val="22"/>
              </w:rPr>
              <w:t>caid and CHIP managed care)</w:t>
            </w:r>
            <w:r w:rsidRPr="000F779A">
              <w:rPr>
                <w:rFonts w:asciiTheme="minorHAnsi" w:eastAsia="Calibri" w:hAnsiTheme="minorHAnsi" w:cstheme="minorHAnsi"/>
                <w:sz w:val="22"/>
                <w:szCs w:val="22"/>
              </w:rPr>
              <w:t>.</w:t>
            </w:r>
          </w:p>
          <w:p w14:paraId="0DB98FB5" w14:textId="77777777" w:rsidR="00007EB9" w:rsidRPr="000F779A" w:rsidRDefault="00007EB9" w:rsidP="00007EB9">
            <w:pPr>
              <w:spacing w:before="40" w:after="40"/>
              <w:rPr>
                <w:rFonts w:asciiTheme="minorHAnsi" w:eastAsia="Calibri" w:hAnsiTheme="minorHAnsi" w:cstheme="minorHAnsi"/>
                <w:sz w:val="22"/>
                <w:szCs w:val="22"/>
              </w:rPr>
            </w:pPr>
          </w:p>
          <w:p w14:paraId="2F510C67" w14:textId="77777777" w:rsidR="007325AD" w:rsidRPr="000F779A" w:rsidRDefault="00007EB9" w:rsidP="00007EB9">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Note</w:t>
            </w:r>
            <w:r w:rsidR="007325AD" w:rsidRPr="000F779A">
              <w:rPr>
                <w:rFonts w:asciiTheme="minorHAnsi" w:eastAsia="Calibri" w:hAnsiTheme="minorHAnsi" w:cstheme="minorHAnsi"/>
                <w:sz w:val="22"/>
                <w:szCs w:val="22"/>
              </w:rPr>
              <w:t>s</w:t>
            </w:r>
            <w:r w:rsidRPr="000F779A">
              <w:rPr>
                <w:rFonts w:asciiTheme="minorHAnsi" w:eastAsia="Calibri" w:hAnsiTheme="minorHAnsi" w:cstheme="minorHAnsi"/>
                <w:sz w:val="22"/>
                <w:szCs w:val="22"/>
              </w:rPr>
              <w:t xml:space="preserve">: </w:t>
            </w:r>
          </w:p>
          <w:p w14:paraId="1512DD35" w14:textId="7527311D" w:rsidR="00007EB9" w:rsidRPr="000F779A" w:rsidRDefault="00891686" w:rsidP="00D51A1E">
            <w:pPr>
              <w:pStyle w:val="ListParagraph"/>
              <w:numPr>
                <w:ilvl w:val="0"/>
                <w:numId w:val="25"/>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Only </w:t>
            </w:r>
            <w:r w:rsidR="00FD22D2" w:rsidRPr="000F779A">
              <w:rPr>
                <w:rFonts w:asciiTheme="minorHAnsi" w:eastAsia="Calibri" w:hAnsiTheme="minorHAnsi" w:cstheme="minorHAnsi"/>
                <w:sz w:val="22"/>
                <w:szCs w:val="22"/>
              </w:rPr>
              <w:t>“In-network or enrolled providers with a verified treatment relationship to the patient”.</w:t>
            </w:r>
          </w:p>
          <w:p w14:paraId="0826F5B5" w14:textId="03C3F1EA" w:rsidR="00D51A1E" w:rsidRPr="000F779A" w:rsidRDefault="00D51A1E" w:rsidP="00D51A1E">
            <w:pPr>
              <w:pStyle w:val="ListParagraph"/>
              <w:numPr>
                <w:ilvl w:val="0"/>
                <w:numId w:val="25"/>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T</w:t>
            </w:r>
            <w:r w:rsidR="00CB43FB" w:rsidRPr="000F779A">
              <w:rPr>
                <w:rFonts w:asciiTheme="minorHAnsi" w:eastAsia="Calibri" w:hAnsiTheme="minorHAnsi" w:cstheme="minorHAnsi"/>
                <w:sz w:val="22"/>
                <w:szCs w:val="22"/>
              </w:rPr>
              <w:t>h</w:t>
            </w:r>
            <w:r w:rsidRPr="000F779A">
              <w:rPr>
                <w:rFonts w:asciiTheme="minorHAnsi" w:eastAsia="Calibri" w:hAnsiTheme="minorHAnsi" w:cstheme="minorHAnsi"/>
                <w:sz w:val="22"/>
                <w:szCs w:val="22"/>
              </w:rPr>
              <w:t>is is a requirement for the pa</w:t>
            </w:r>
            <w:r w:rsidR="00CB43FB" w:rsidRPr="000F779A">
              <w:rPr>
                <w:rFonts w:asciiTheme="minorHAnsi" w:eastAsia="Calibri" w:hAnsiTheme="minorHAnsi" w:cstheme="minorHAnsi"/>
                <w:sz w:val="22"/>
                <w:szCs w:val="22"/>
              </w:rPr>
              <w:t xml:space="preserve">yers, </w:t>
            </w:r>
            <w:r w:rsidR="00891686" w:rsidRPr="000F779A">
              <w:rPr>
                <w:rFonts w:asciiTheme="minorHAnsi" w:eastAsia="Calibri" w:hAnsiTheme="minorHAnsi" w:cstheme="minorHAnsi"/>
                <w:sz w:val="22"/>
                <w:szCs w:val="22"/>
              </w:rPr>
              <w:t xml:space="preserve">and although payers are </w:t>
            </w:r>
            <w:r w:rsidR="00CB43FB" w:rsidRPr="000F779A">
              <w:rPr>
                <w:rFonts w:asciiTheme="minorHAnsi" w:eastAsia="Calibri" w:hAnsiTheme="minorHAnsi" w:cstheme="minorHAnsi"/>
                <w:sz w:val="22"/>
                <w:szCs w:val="22"/>
              </w:rPr>
              <w:t xml:space="preserve">not </w:t>
            </w:r>
            <w:r w:rsidR="00891686" w:rsidRPr="000F779A">
              <w:rPr>
                <w:rFonts w:asciiTheme="minorHAnsi" w:eastAsia="Calibri" w:hAnsiTheme="minorHAnsi" w:cstheme="minorHAnsi"/>
                <w:sz w:val="22"/>
                <w:szCs w:val="22"/>
              </w:rPr>
              <w:t>required</w:t>
            </w:r>
            <w:r w:rsidR="00CB43FB" w:rsidRPr="000F779A">
              <w:rPr>
                <w:rFonts w:asciiTheme="minorHAnsi" w:eastAsia="Calibri" w:hAnsiTheme="minorHAnsi" w:cstheme="minorHAnsi"/>
                <w:sz w:val="22"/>
                <w:szCs w:val="22"/>
              </w:rPr>
              <w:t xml:space="preserve"> </w:t>
            </w:r>
            <w:r w:rsidR="00891686" w:rsidRPr="000F779A">
              <w:rPr>
                <w:rFonts w:asciiTheme="minorHAnsi" w:eastAsia="Calibri" w:hAnsiTheme="minorHAnsi" w:cstheme="minorHAnsi"/>
                <w:sz w:val="22"/>
                <w:szCs w:val="22"/>
              </w:rPr>
              <w:t>to</w:t>
            </w:r>
            <w:r w:rsidR="00CB43FB" w:rsidRPr="000F779A">
              <w:rPr>
                <w:rFonts w:asciiTheme="minorHAnsi" w:eastAsia="Calibri" w:hAnsiTheme="minorHAnsi" w:cstheme="minorHAnsi"/>
                <w:sz w:val="22"/>
                <w:szCs w:val="22"/>
              </w:rPr>
              <w:t xml:space="preserve"> compel providers to use it</w:t>
            </w:r>
            <w:r w:rsidR="00D1735F" w:rsidRPr="000F779A">
              <w:rPr>
                <w:rFonts w:asciiTheme="minorHAnsi" w:eastAsia="Calibri" w:hAnsiTheme="minorHAnsi" w:cstheme="minorHAnsi"/>
                <w:sz w:val="22"/>
                <w:szCs w:val="22"/>
              </w:rPr>
              <w:t>,</w:t>
            </w:r>
            <w:r w:rsidR="007C7AB4" w:rsidRPr="000F779A">
              <w:rPr>
                <w:rFonts w:asciiTheme="minorHAnsi" w:eastAsia="Calibri" w:hAnsiTheme="minorHAnsi" w:cstheme="minorHAnsi"/>
                <w:sz w:val="22"/>
                <w:szCs w:val="22"/>
              </w:rPr>
              <w:t xml:space="preserve"> states may choose to add requirements to contracts.</w:t>
            </w:r>
          </w:p>
        </w:tc>
      </w:tr>
      <w:tr w:rsidR="00A14FC5" w:rsidRPr="000F779A" w14:paraId="786E1F75" w14:textId="77777777" w:rsidTr="00F02546">
        <w:tc>
          <w:tcPr>
            <w:tcW w:w="2317" w:type="dxa"/>
            <w:shd w:val="clear" w:color="auto" w:fill="auto"/>
          </w:tcPr>
          <w:p w14:paraId="0F1DB002" w14:textId="70E83B15" w:rsidR="00A14FC5" w:rsidRPr="000F779A" w:rsidRDefault="00A14FC5" w:rsidP="00F8199C">
            <w:pPr>
              <w:pageBreakBefore/>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Adding §431.80</w:t>
            </w:r>
          </w:p>
          <w:p w14:paraId="49AD2C84" w14:textId="77777777" w:rsidR="00F8199C" w:rsidRPr="000F779A" w:rsidRDefault="00F8199C" w:rsidP="00F8199C">
            <w:pPr>
              <w:pageBreakBefore/>
              <w:spacing w:before="40" w:after="40"/>
              <w:rPr>
                <w:rFonts w:asciiTheme="minorHAnsi" w:eastAsia="Calibri" w:hAnsiTheme="minorHAnsi" w:cstheme="minorHAnsi"/>
                <w:b/>
                <w:bCs/>
                <w:i/>
                <w:iCs/>
                <w:sz w:val="22"/>
                <w:szCs w:val="22"/>
              </w:rPr>
            </w:pPr>
          </w:p>
          <w:p w14:paraId="5EA51527" w14:textId="619638CB" w:rsidR="00F8199C" w:rsidRPr="000F779A" w:rsidRDefault="00F8199C" w:rsidP="00F8199C">
            <w:pPr>
              <w:pageBreakBefore/>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3482F3BE" w14:textId="696157AA" w:rsidR="00F8199C" w:rsidRPr="000F779A" w:rsidRDefault="00D20C60" w:rsidP="00F8199C">
            <w:pPr>
              <w:pageBreakBefore/>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state</w:t>
            </w:r>
            <w:r w:rsidR="005B0C7E" w:rsidRPr="000F779A">
              <w:rPr>
                <w:rFonts w:asciiTheme="minorHAnsi" w:eastAsia="Calibri" w:hAnsiTheme="minorHAnsi" w:cstheme="minorHAnsi"/>
                <w:sz w:val="22"/>
                <w:szCs w:val="22"/>
              </w:rPr>
              <w:t xml:space="preserve">s to </w:t>
            </w:r>
            <w:r w:rsidR="00B90299" w:rsidRPr="000F779A">
              <w:rPr>
                <w:rFonts w:asciiTheme="minorHAnsi" w:eastAsia="Calibri" w:hAnsiTheme="minorHAnsi" w:cstheme="minorHAnsi"/>
                <w:sz w:val="22"/>
                <w:szCs w:val="22"/>
              </w:rPr>
              <w:t>include specific reason for denial in communications</w:t>
            </w:r>
            <w:r w:rsidR="00C950EC" w:rsidRPr="000F779A">
              <w:rPr>
                <w:rFonts w:asciiTheme="minorHAnsi" w:eastAsia="Calibri" w:hAnsiTheme="minorHAnsi" w:cstheme="minorHAnsi"/>
                <w:sz w:val="22"/>
                <w:szCs w:val="22"/>
              </w:rPr>
              <w:t>—</w:t>
            </w:r>
            <w:r w:rsidR="00F8199C" w:rsidRPr="000F779A">
              <w:rPr>
                <w:rFonts w:asciiTheme="minorHAnsi" w:eastAsia="Calibri" w:hAnsiTheme="minorHAnsi" w:cstheme="minorHAnsi"/>
                <w:sz w:val="22"/>
                <w:szCs w:val="22"/>
              </w:rPr>
              <w:t>January 1, 2026</w:t>
            </w:r>
            <w:r w:rsidR="00B90299" w:rsidRPr="000F779A">
              <w:rPr>
                <w:rFonts w:asciiTheme="minorHAnsi" w:eastAsia="Calibri" w:hAnsiTheme="minorHAnsi" w:cstheme="minorHAnsi"/>
                <w:sz w:val="22"/>
                <w:szCs w:val="22"/>
              </w:rPr>
              <w:t>.</w:t>
            </w:r>
          </w:p>
          <w:p w14:paraId="3681705B" w14:textId="77777777" w:rsidR="00F53EBE" w:rsidRPr="000F779A" w:rsidRDefault="00F53EBE" w:rsidP="00F8199C">
            <w:pPr>
              <w:pageBreakBefore/>
              <w:spacing w:before="40" w:after="40"/>
              <w:rPr>
                <w:rFonts w:asciiTheme="minorHAnsi" w:eastAsia="Calibri" w:hAnsiTheme="minorHAnsi" w:cstheme="minorHAnsi"/>
                <w:sz w:val="22"/>
                <w:szCs w:val="22"/>
              </w:rPr>
            </w:pPr>
          </w:p>
          <w:p w14:paraId="4ED1D65A" w14:textId="3E4FA2AD" w:rsidR="00F53EBE" w:rsidRPr="000F779A" w:rsidRDefault="00F53EBE" w:rsidP="00F8199C">
            <w:pPr>
              <w:pageBreakBefore/>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To </w:t>
            </w:r>
            <w:r w:rsidR="007D5810" w:rsidRPr="000F779A">
              <w:rPr>
                <w:rFonts w:asciiTheme="minorHAnsi" w:eastAsia="Calibri" w:hAnsiTheme="minorHAnsi" w:cstheme="minorHAnsi"/>
                <w:sz w:val="22"/>
                <w:szCs w:val="22"/>
              </w:rPr>
              <w:t xml:space="preserve">include specific reason for denial in </w:t>
            </w:r>
            <w:r w:rsidR="00E63AFE" w:rsidRPr="000F779A">
              <w:rPr>
                <w:rFonts w:asciiTheme="minorHAnsi" w:eastAsia="Calibri" w:hAnsiTheme="minorHAnsi" w:cstheme="minorHAnsi"/>
                <w:sz w:val="22"/>
                <w:szCs w:val="22"/>
              </w:rPr>
              <w:t>the P</w:t>
            </w:r>
            <w:r w:rsidR="007D5810" w:rsidRPr="000F779A">
              <w:rPr>
                <w:rFonts w:asciiTheme="minorHAnsi" w:eastAsia="Calibri" w:hAnsiTheme="minorHAnsi" w:cstheme="minorHAnsi"/>
                <w:sz w:val="22"/>
                <w:szCs w:val="22"/>
              </w:rPr>
              <w:t xml:space="preserve">atient </w:t>
            </w:r>
            <w:r w:rsidR="00E63AFE" w:rsidRPr="000F779A">
              <w:rPr>
                <w:rFonts w:asciiTheme="minorHAnsi" w:eastAsia="Calibri" w:hAnsiTheme="minorHAnsi" w:cstheme="minorHAnsi"/>
                <w:sz w:val="22"/>
                <w:szCs w:val="22"/>
              </w:rPr>
              <w:t>A</w:t>
            </w:r>
            <w:r w:rsidR="007D5810" w:rsidRPr="000F779A">
              <w:rPr>
                <w:rFonts w:asciiTheme="minorHAnsi" w:eastAsia="Calibri" w:hAnsiTheme="minorHAnsi" w:cstheme="minorHAnsi"/>
                <w:sz w:val="22"/>
                <w:szCs w:val="22"/>
              </w:rPr>
              <w:t>ccess API—</w:t>
            </w:r>
            <w:r w:rsidR="008F54A6" w:rsidRPr="000F779A">
              <w:rPr>
                <w:rFonts w:asciiTheme="minorHAnsi" w:eastAsia="Calibri" w:hAnsiTheme="minorHAnsi" w:cstheme="minorHAnsi"/>
                <w:sz w:val="22"/>
                <w:szCs w:val="22"/>
              </w:rPr>
              <w:t>January</w:t>
            </w:r>
            <w:r w:rsidR="007D5810" w:rsidRPr="000F779A">
              <w:rPr>
                <w:rFonts w:asciiTheme="minorHAnsi" w:eastAsia="Calibri" w:hAnsiTheme="minorHAnsi" w:cstheme="minorHAnsi"/>
                <w:sz w:val="22"/>
                <w:szCs w:val="22"/>
              </w:rPr>
              <w:t xml:space="preserve"> 1, 2027</w:t>
            </w:r>
            <w:r w:rsidR="008F54A6" w:rsidRPr="000F779A">
              <w:rPr>
                <w:rFonts w:asciiTheme="minorHAnsi" w:eastAsia="Calibri" w:hAnsiTheme="minorHAnsi" w:cstheme="minorHAnsi"/>
                <w:sz w:val="22"/>
                <w:szCs w:val="22"/>
              </w:rPr>
              <w:t>.</w:t>
            </w:r>
          </w:p>
          <w:p w14:paraId="4C18CBB7" w14:textId="77777777" w:rsidR="00B90299" w:rsidRPr="000F779A" w:rsidRDefault="00B90299" w:rsidP="00F8199C">
            <w:pPr>
              <w:pageBreakBefore/>
              <w:spacing w:before="40" w:after="40"/>
              <w:rPr>
                <w:rFonts w:asciiTheme="minorHAnsi" w:eastAsia="Calibri" w:hAnsiTheme="minorHAnsi" w:cstheme="minorHAnsi"/>
                <w:sz w:val="22"/>
                <w:szCs w:val="22"/>
              </w:rPr>
            </w:pPr>
          </w:p>
          <w:p w14:paraId="7829AD4A" w14:textId="0D449D7A" w:rsidR="00B90299" w:rsidRPr="000F779A" w:rsidRDefault="00B90299" w:rsidP="00F8199C">
            <w:pPr>
              <w:pageBreakBefore/>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Prior </w:t>
            </w:r>
            <w:r w:rsidR="00AB182D" w:rsidRPr="000F779A">
              <w:rPr>
                <w:rFonts w:asciiTheme="minorHAnsi" w:eastAsia="Calibri" w:hAnsiTheme="minorHAnsi" w:cstheme="minorHAnsi"/>
                <w:sz w:val="22"/>
                <w:szCs w:val="22"/>
              </w:rPr>
              <w:t>A</w:t>
            </w:r>
            <w:r w:rsidRPr="000F779A">
              <w:rPr>
                <w:rFonts w:asciiTheme="minorHAnsi" w:eastAsia="Calibri" w:hAnsiTheme="minorHAnsi" w:cstheme="minorHAnsi"/>
                <w:sz w:val="22"/>
                <w:szCs w:val="22"/>
              </w:rPr>
              <w:t xml:space="preserve">uthorization API—January </w:t>
            </w:r>
            <w:r w:rsidR="00BF23C3" w:rsidRPr="000F779A">
              <w:rPr>
                <w:rFonts w:asciiTheme="minorHAnsi" w:eastAsia="Calibri" w:hAnsiTheme="minorHAnsi" w:cstheme="minorHAnsi"/>
                <w:sz w:val="22"/>
                <w:szCs w:val="22"/>
              </w:rPr>
              <w:t>1, 2027.</w:t>
            </w:r>
          </w:p>
          <w:p w14:paraId="341605C9" w14:textId="77777777" w:rsidR="00A14FC5" w:rsidRPr="000F779A" w:rsidRDefault="00A14FC5" w:rsidP="002107B8">
            <w:pPr>
              <w:spacing w:before="40" w:after="40"/>
              <w:rPr>
                <w:rFonts w:asciiTheme="minorHAnsi" w:eastAsia="Calibri" w:hAnsiTheme="minorHAnsi" w:cstheme="minorHAnsi"/>
                <w:b/>
                <w:bCs/>
                <w:i/>
                <w:iCs/>
                <w:sz w:val="22"/>
                <w:szCs w:val="22"/>
              </w:rPr>
            </w:pPr>
          </w:p>
        </w:tc>
        <w:tc>
          <w:tcPr>
            <w:tcW w:w="7290" w:type="dxa"/>
            <w:shd w:val="clear" w:color="auto" w:fill="auto"/>
          </w:tcPr>
          <w:p w14:paraId="77DB5907" w14:textId="4D5A1774" w:rsidR="00A14FC5" w:rsidRPr="000F779A" w:rsidRDefault="00A14FC5" w:rsidP="004D7436">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§431.80 Prior authorization requirements.</w:t>
            </w:r>
          </w:p>
          <w:p w14:paraId="14DB48FD" w14:textId="2D82C450" w:rsidR="00A14FC5" w:rsidRPr="000F779A" w:rsidRDefault="00A14FC5" w:rsidP="00136169">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(a)</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Communicating a reason for denial. </w:t>
            </w:r>
            <w:r w:rsidRPr="000F779A">
              <w:rPr>
                <w:rFonts w:asciiTheme="minorHAnsi" w:eastAsia="Calibri" w:hAnsiTheme="minorHAnsi" w:cstheme="minorHAnsi"/>
                <w:sz w:val="22"/>
                <w:szCs w:val="22"/>
              </w:rPr>
              <w:t xml:space="preserve">Beginning January 1, 2026, if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denies a prior authorization request (excluding a request for coverage of drugs as defined in §431.60(b)(6)), in accordance with the timeframes established in §440.230(e)(1) of this chapter, the response to the provider must include a specific reason for the denial, regardless of the method used to communicate that information.</w:t>
            </w:r>
          </w:p>
          <w:p w14:paraId="3FE9ABC8" w14:textId="24DD7727" w:rsidR="00A14FC5" w:rsidRPr="000F779A" w:rsidRDefault="00A14FC5" w:rsidP="00863DD0">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Prior Authorization Application Programming Interface (API). </w:t>
            </w:r>
            <w:r w:rsidRPr="000F779A">
              <w:rPr>
                <w:rFonts w:asciiTheme="minorHAnsi" w:eastAsia="Calibri" w:hAnsiTheme="minorHAnsi" w:cstheme="minorHAnsi"/>
                <w:sz w:val="22"/>
                <w:szCs w:val="22"/>
              </w:rPr>
              <w:t xml:space="preserve">Unless granted an extension or exemption under paragraph (c) of this section, beginning January 1, 2027,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must implement and maintain an API conformant with §431.60(c)(2) through (4), (d), and (e), and the standards in 45 CFR 170.215(a)(1), (b)(1)(i), and (c)(1) that—</w:t>
            </w:r>
          </w:p>
          <w:p w14:paraId="75C9FC7E" w14:textId="70BF7164" w:rsidR="00A14FC5" w:rsidRPr="000F779A" w:rsidRDefault="00A14FC5" w:rsidP="00183C8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(1) Is populated with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’s list of covered items and services (excluding drugs, as defined in §431.60(b)(6)) that require prior authorization; </w:t>
            </w:r>
          </w:p>
          <w:p w14:paraId="07F295F5" w14:textId="450673E2" w:rsidR="00A14FC5" w:rsidRPr="000F779A" w:rsidRDefault="00A14FC5" w:rsidP="00183C8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(2) Can identify all documentation required by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for approval of any items or services that require prior authorization;</w:t>
            </w:r>
          </w:p>
          <w:p w14:paraId="556B8ACE" w14:textId="1609784E" w:rsidR="00A14FC5" w:rsidRPr="000F779A" w:rsidRDefault="00A14FC5" w:rsidP="00183C8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(3) Supports a HIPAA-compliant prior authorization request and response, as described in 45 CFR part 162; and (4) Communicates the following information about prior authorization requests:</w:t>
            </w:r>
          </w:p>
          <w:p w14:paraId="19B8EFBC" w14:textId="2CC92F89" w:rsidR="00A14FC5" w:rsidRPr="000F779A" w:rsidRDefault="00A14FC5" w:rsidP="00183C8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Whether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w:t>
            </w:r>
          </w:p>
          <w:p w14:paraId="38FBB1F5" w14:textId="679694BD" w:rsidR="00A14FC5" w:rsidRPr="000F779A" w:rsidRDefault="00A14FC5" w:rsidP="00C232A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Approves the prior authorization request (and the date or circumstance under which the authorization ends);</w:t>
            </w:r>
          </w:p>
          <w:p w14:paraId="74EAE3DF" w14:textId="12F3F098" w:rsidR="00A14FC5" w:rsidRPr="000F779A" w:rsidRDefault="00A14FC5" w:rsidP="00C232A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Denies the prior authorization request; or</w:t>
            </w:r>
          </w:p>
          <w:p w14:paraId="7234DE8A" w14:textId="77777777" w:rsidR="00A14FC5" w:rsidRPr="000F779A" w:rsidRDefault="00A14FC5" w:rsidP="00C232A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Requests more information.</w:t>
            </w:r>
          </w:p>
          <w:p w14:paraId="2439F878" w14:textId="2914C73B" w:rsidR="00A14FC5" w:rsidRPr="000F779A" w:rsidRDefault="00A14FC5" w:rsidP="00C232A0">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If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denies the prior authorization request, it must include a specific reason for the denial.</w:t>
            </w:r>
          </w:p>
          <w:p w14:paraId="234B8863" w14:textId="77777777" w:rsidR="00A14FC5" w:rsidRPr="000F779A" w:rsidRDefault="00A14FC5" w:rsidP="00863DD0">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lastRenderedPageBreak/>
              <w:t>(c)</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Extensions and exemptions</w:t>
            </w:r>
            <w:r w:rsidRPr="000F779A">
              <w:rPr>
                <w:rFonts w:asciiTheme="minorHAnsi" w:eastAsia="Calibri" w:hAnsiTheme="minorHAnsi" w:cstheme="minorHAnsi"/>
                <w:sz w:val="22"/>
                <w:szCs w:val="22"/>
              </w:rPr>
              <w:t>—</w:t>
            </w:r>
          </w:p>
          <w:p w14:paraId="5D02B609" w14:textId="0556B82C" w:rsidR="00A14FC5" w:rsidRPr="000F779A" w:rsidRDefault="00A66EEA" w:rsidP="00863DD0">
            <w:pPr>
              <w:spacing w:before="40" w:after="40"/>
              <w:rPr>
                <w:rFonts w:asciiTheme="minorHAnsi" w:eastAsia="Calibri" w:hAnsiTheme="minorHAnsi" w:cstheme="minorHAnsi"/>
                <w:i/>
                <w:iCs/>
                <w:sz w:val="22"/>
                <w:szCs w:val="22"/>
              </w:rPr>
            </w:pPr>
            <w:r w:rsidRPr="000F779A">
              <w:rPr>
                <w:rFonts w:asciiTheme="minorHAnsi" w:eastAsia="Calibri" w:hAnsiTheme="minorHAnsi" w:cstheme="minorHAnsi"/>
                <w:b/>
                <w:bCs/>
                <w:sz w:val="22"/>
                <w:szCs w:val="22"/>
              </w:rPr>
              <w:t>(c)</w:t>
            </w:r>
            <w:r w:rsidR="00A14FC5" w:rsidRPr="000F779A">
              <w:rPr>
                <w:rFonts w:asciiTheme="minorHAnsi" w:eastAsia="Calibri" w:hAnsiTheme="minorHAnsi" w:cstheme="minorHAnsi"/>
                <w:b/>
                <w:bCs/>
                <w:sz w:val="22"/>
                <w:szCs w:val="22"/>
              </w:rPr>
              <w:t>(1)</w:t>
            </w:r>
            <w:r w:rsidR="00A14FC5" w:rsidRPr="000F779A">
              <w:rPr>
                <w:rFonts w:asciiTheme="minorHAnsi" w:eastAsia="Calibri" w:hAnsiTheme="minorHAnsi" w:cstheme="minorHAnsi"/>
                <w:sz w:val="22"/>
                <w:szCs w:val="22"/>
              </w:rPr>
              <w:t xml:space="preserve"> </w:t>
            </w:r>
            <w:r w:rsidR="00A14FC5" w:rsidRPr="000F779A">
              <w:rPr>
                <w:rFonts w:asciiTheme="minorHAnsi" w:eastAsia="Calibri" w:hAnsiTheme="minorHAnsi" w:cstheme="minorHAnsi"/>
                <w:i/>
                <w:iCs/>
                <w:sz w:val="22"/>
                <w:szCs w:val="22"/>
              </w:rPr>
              <w:t>Extension.</w:t>
            </w:r>
          </w:p>
          <w:p w14:paraId="6D7D427F" w14:textId="4CD0AECB" w:rsidR="00A14FC5" w:rsidRPr="000F779A" w:rsidRDefault="00A14FC5" w:rsidP="00CC2CD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may submit a written application to request a onetime, 1-year extension of the requirements in paragraph (b) of this section for its Medicaid FFS program. The written application must be submitted as part of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annual APD for MMIS operations expenditures described in part 433, subpart C, of this chapter; and approved before the compliance date in paragraph (b) of this section. It must include all the following:</w:t>
            </w:r>
          </w:p>
          <w:p w14:paraId="76D1D65A" w14:textId="2DAEB8E3"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A narrative justification describing the specific reasons why the</w:t>
            </w:r>
            <w:r w:rsidRPr="000F779A">
              <w:rPr>
                <w:rFonts w:asciiTheme="minorHAnsi" w:eastAsiaTheme="minorHAnsi" w:hAnsiTheme="minorHAnsi" w:cstheme="minorHAnsi"/>
                <w:sz w:val="18"/>
                <w:szCs w:val="18"/>
              </w:rPr>
              <w:t xml:space="preserv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cannot satisfy the requirement(s) by the compliance date and why those reasons result from circumstances that are unique to the agency operating the Medicaid FFS program. (B) A report on completed and ongoing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activities that evidence a good faith effort towards compliance.</w:t>
            </w:r>
          </w:p>
          <w:p w14:paraId="3DEE25A7" w14:textId="116F86C5"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(C) A comprehensive plan to meet the requirements no later than 1 year after the compliance date.</w:t>
            </w:r>
          </w:p>
          <w:p w14:paraId="567C460F" w14:textId="0FE69061" w:rsidR="00A14FC5" w:rsidRPr="000F779A" w:rsidRDefault="00A14FC5" w:rsidP="004C6F33">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CMS grants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request if it determines, based on the information provided, that—</w:t>
            </w:r>
          </w:p>
          <w:p w14:paraId="1014C1D7" w14:textId="12AA5477"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The request adequately establishes a need to delay implementation; and</w:t>
            </w:r>
          </w:p>
          <w:p w14:paraId="6BE3338D" w14:textId="243D8F4A"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has a comprehensive plan to meet the requirements no later than 1 year after the compliance date.</w:t>
            </w:r>
          </w:p>
          <w:p w14:paraId="014BF2A0" w14:textId="1EB9C593" w:rsidR="00A14FC5" w:rsidRPr="000F779A" w:rsidRDefault="00A66EEA" w:rsidP="00CD344A">
            <w:pPr>
              <w:spacing w:before="40" w:after="40"/>
              <w:rPr>
                <w:rFonts w:asciiTheme="minorHAnsi" w:eastAsia="Calibri" w:hAnsiTheme="minorHAnsi" w:cstheme="minorHAnsi"/>
                <w:i/>
                <w:iCs/>
                <w:sz w:val="22"/>
                <w:szCs w:val="22"/>
              </w:rPr>
            </w:pPr>
            <w:r w:rsidRPr="000F779A">
              <w:rPr>
                <w:rFonts w:asciiTheme="minorHAnsi" w:eastAsia="Calibri" w:hAnsiTheme="minorHAnsi" w:cstheme="minorHAnsi"/>
                <w:b/>
                <w:bCs/>
                <w:sz w:val="22"/>
                <w:szCs w:val="22"/>
              </w:rPr>
              <w:t>(c)</w:t>
            </w:r>
            <w:r w:rsidR="00A14FC5" w:rsidRPr="000F779A">
              <w:rPr>
                <w:rFonts w:asciiTheme="minorHAnsi" w:eastAsia="Calibri" w:hAnsiTheme="minorHAnsi" w:cstheme="minorHAnsi"/>
                <w:b/>
                <w:bCs/>
                <w:sz w:val="22"/>
                <w:szCs w:val="22"/>
              </w:rPr>
              <w:t>(2)</w:t>
            </w:r>
            <w:r w:rsidR="00A14FC5" w:rsidRPr="000F779A">
              <w:rPr>
                <w:rFonts w:asciiTheme="minorHAnsi" w:eastAsia="Calibri" w:hAnsiTheme="minorHAnsi" w:cstheme="minorHAnsi"/>
                <w:sz w:val="22"/>
                <w:szCs w:val="22"/>
              </w:rPr>
              <w:t xml:space="preserve"> </w:t>
            </w:r>
            <w:r w:rsidR="00A14FC5" w:rsidRPr="000F779A">
              <w:rPr>
                <w:rFonts w:asciiTheme="minorHAnsi" w:eastAsia="Calibri" w:hAnsiTheme="minorHAnsi" w:cstheme="minorHAnsi"/>
                <w:i/>
                <w:iCs/>
                <w:sz w:val="22"/>
                <w:szCs w:val="22"/>
              </w:rPr>
              <w:t>Exemption.</w:t>
            </w:r>
          </w:p>
          <w:p w14:paraId="45CC484E" w14:textId="259D9291" w:rsidR="00A14FC5" w:rsidRPr="000F779A" w:rsidRDefault="00A14FC5" w:rsidP="00CD344A">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operating a Medicaid program in which at least 90 percent of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’s Medicaid beneficiaries are enrolled in Medicaid managed care organizations, as defined in §438.2 of this chapter, may request an </w:t>
            </w:r>
            <w:r w:rsidRPr="000F779A">
              <w:rPr>
                <w:rFonts w:asciiTheme="minorHAnsi" w:eastAsia="Calibri" w:hAnsiTheme="minorHAnsi" w:cstheme="minorHAnsi"/>
                <w:sz w:val="22"/>
                <w:szCs w:val="22"/>
              </w:rPr>
              <w:lastRenderedPageBreak/>
              <w:t>exemption for its FFS program from the requirements in paragraph (b) of this section.</w:t>
            </w:r>
          </w:p>
          <w:p w14:paraId="6C234FBE" w14:textId="600DEEF5" w:rsidR="00A14FC5" w:rsidRPr="000F779A" w:rsidRDefault="00A14FC5" w:rsidP="00CD344A">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exemption request must:</w:t>
            </w:r>
          </w:p>
          <w:p w14:paraId="688634F8" w14:textId="1EF4C9F8"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Be submitted in writing as part of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annual APD for MMIS operations expenditures before the compliance date in paragraph (b) of this section.</w:t>
            </w:r>
          </w:p>
          <w:p w14:paraId="5AEC895B" w14:textId="61F7FD73"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request must include both of the following:</w:t>
            </w:r>
          </w:p>
          <w:p w14:paraId="41CA1870" w14:textId="327AB061"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xml:space="preserve">) Documentation that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meets the threshold for the exemption, based on enrollment data from the most recent CMS ‘‘Medicaid Managed Care Enrollment and Program Characteristics’’ (or successor) report.</w:t>
            </w:r>
          </w:p>
          <w:p w14:paraId="247FE0F9" w14:textId="7BAC4B38"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An alternative plan to ensure that enrolled providers will have efficient electronic access to the same information through other means while the exemption is in effect.</w:t>
            </w:r>
          </w:p>
          <w:p w14:paraId="7DF69385" w14:textId="5D9C82BE" w:rsidR="00A14FC5" w:rsidRPr="000F779A" w:rsidRDefault="00A14FC5" w:rsidP="00F05BD0">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(iii) CMS grants the exemption if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establishes to CMS’s satisfaction that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w:t>
            </w:r>
          </w:p>
          <w:p w14:paraId="799C8944" w14:textId="74E1AE5E"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(A) Meets the threshold for the exemption; and</w:t>
            </w:r>
          </w:p>
          <w:p w14:paraId="30C3F922" w14:textId="2952F9F0" w:rsidR="00A14FC5" w:rsidRPr="000F779A" w:rsidRDefault="00A14FC5" w:rsidP="00DC1830">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Has established an alternative plan to ensure that enrolled providers will have efficient electronic access to the same information through other means while the exemption is in effect.</w:t>
            </w:r>
          </w:p>
          <w:p w14:paraId="593B9FDA" w14:textId="25302C59" w:rsidR="00A14FC5" w:rsidRPr="000F779A" w:rsidRDefault="00A14FC5" w:rsidP="00F05BD0">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(iv)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exemption expires if either—</w:t>
            </w:r>
          </w:p>
          <w:p w14:paraId="6E988C47" w14:textId="4963E0E2" w:rsidR="00A14FC5" w:rsidRPr="000F779A" w:rsidRDefault="00A14FC5" w:rsidP="003F4F13">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Based on the 3 previous years of available, finalized Medicaid Transformed Medicaid Statistical Information System (T–MSIS) managed care and FFS enrollment data,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’s managed care enrollment for 2 of the previous 3 years is below 90 percent; or (B)(</w:t>
            </w:r>
            <w:r w:rsidRPr="000F779A">
              <w:rPr>
                <w:rFonts w:asciiTheme="minorHAnsi" w:eastAsia="Calibri" w:hAnsiTheme="minorHAnsi" w:cstheme="minorHAnsi"/>
                <w:i/>
                <w:iCs/>
                <w:sz w:val="22"/>
                <w:szCs w:val="22"/>
              </w:rPr>
              <w:t>1</w:t>
            </w:r>
            <w:r w:rsidRPr="000F779A">
              <w:rPr>
                <w:rFonts w:asciiTheme="minorHAnsi" w:eastAsia="Calibri" w:hAnsiTheme="minorHAnsi" w:cstheme="minorHAnsi"/>
                <w:sz w:val="22"/>
                <w:szCs w:val="22"/>
              </w:rPr>
              <w:t xml:space="preserve">) CMS has approved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plan amendment, waiver, or waiver</w:t>
            </w:r>
            <w:r w:rsidRPr="000F779A">
              <w:rPr>
                <w:rFonts w:asciiTheme="minorHAnsi" w:eastAsiaTheme="minorHAnsi" w:hAnsiTheme="minorHAnsi" w:cstheme="minorHAnsi"/>
                <w:sz w:val="18"/>
                <w:szCs w:val="18"/>
              </w:rPr>
              <w:t xml:space="preserve"> </w:t>
            </w:r>
            <w:r w:rsidRPr="000F779A">
              <w:rPr>
                <w:rFonts w:asciiTheme="minorHAnsi" w:eastAsia="Calibri" w:hAnsiTheme="minorHAnsi" w:cstheme="minorHAnsi"/>
                <w:sz w:val="22"/>
                <w:szCs w:val="22"/>
              </w:rPr>
              <w:t xml:space="preserve">amendment that would </w:t>
            </w:r>
            <w:r w:rsidRPr="000F779A">
              <w:rPr>
                <w:rFonts w:asciiTheme="minorHAnsi" w:eastAsia="Calibri" w:hAnsiTheme="minorHAnsi" w:cstheme="minorHAnsi"/>
                <w:sz w:val="22"/>
                <w:szCs w:val="22"/>
              </w:rPr>
              <w:lastRenderedPageBreak/>
              <w:t xml:space="preserve">significantly reduce the percentage of beneficiaries enrolled in managed care; and </w:t>
            </w:r>
          </w:p>
          <w:p w14:paraId="408232FF" w14:textId="213932F4" w:rsidR="00A14FC5" w:rsidRPr="000F779A" w:rsidRDefault="00A14FC5" w:rsidP="003F4F13">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w:t>
            </w:r>
            <w:r w:rsidRPr="000F779A">
              <w:rPr>
                <w:rFonts w:asciiTheme="minorHAnsi" w:eastAsia="Calibri" w:hAnsiTheme="minorHAnsi" w:cstheme="minorHAnsi"/>
                <w:i/>
                <w:iCs/>
                <w:sz w:val="22"/>
                <w:szCs w:val="22"/>
              </w:rPr>
              <w:t>2</w:t>
            </w:r>
            <w:r w:rsidRPr="000F779A">
              <w:rPr>
                <w:rFonts w:asciiTheme="minorHAnsi" w:eastAsia="Calibri" w:hAnsiTheme="minorHAnsi" w:cstheme="minorHAnsi"/>
                <w:sz w:val="22"/>
                <w:szCs w:val="22"/>
              </w:rPr>
              <w:t>) The anticipated shift in enrollment is confirmed by the first available, finalized Medicaid T–MSIS managed care and FFS enrollment data.</w:t>
            </w:r>
          </w:p>
          <w:p w14:paraId="157FABE9" w14:textId="1DC1EF2A" w:rsidR="00A14FC5" w:rsidRPr="000F779A" w:rsidRDefault="00A14FC5" w:rsidP="007A50DE">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(v) If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’s exemption expires under paragraph (c)(2)(iv) of this section,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is required to do both of the following—</w:t>
            </w:r>
          </w:p>
          <w:p w14:paraId="4BF8116C" w14:textId="700258B6" w:rsidR="00A14FC5" w:rsidRPr="000F779A" w:rsidRDefault="00A14FC5" w:rsidP="003F4F13">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Submit written notification to CMS that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no longer qualifies for the exemption within 90 days of the finalization of annual Medicaid T–MSIS managed care enrollment data that demonstrates that there has been the requisite shift from managed care enrollment to FFS enrollment resulting in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’s managed care enrollment falling below the 90 percent threshold. </w:t>
            </w:r>
          </w:p>
          <w:p w14:paraId="4BE8B328" w14:textId="4AFF2609" w:rsidR="00A14FC5" w:rsidRPr="000F779A" w:rsidRDefault="00A14FC5" w:rsidP="007A50DE">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(B) Obtain CMS approval of a timeline for compliance with the requirements in paragraph (b) of this section within 2 years of the expiration of the exemption.</w:t>
            </w:r>
          </w:p>
        </w:tc>
        <w:tc>
          <w:tcPr>
            <w:tcW w:w="4140" w:type="dxa"/>
            <w:shd w:val="clear" w:color="auto" w:fill="auto"/>
          </w:tcPr>
          <w:p w14:paraId="0E31CDC4" w14:textId="77777777" w:rsidR="00C43BDE" w:rsidRPr="000F779A" w:rsidRDefault="00942E96" w:rsidP="003F4414">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Requires </w:t>
            </w:r>
            <w:r w:rsidR="003F4414" w:rsidRPr="000F779A">
              <w:rPr>
                <w:rFonts w:asciiTheme="minorHAnsi" w:eastAsia="Calibri" w:hAnsiTheme="minorHAnsi" w:cstheme="minorHAnsi"/>
                <w:sz w:val="22"/>
                <w:szCs w:val="22"/>
              </w:rPr>
              <w:t>payers to communicate the specific reason for the denial regardless of the communication method used.</w:t>
            </w:r>
            <w:r w:rsidR="003F4414" w:rsidRPr="000F779A">
              <w:rPr>
                <w:rFonts w:asciiTheme="minorHAnsi" w:eastAsiaTheme="minorHAnsi" w:hAnsiTheme="minorHAnsi" w:cstheme="minorHAnsi"/>
                <w:sz w:val="18"/>
                <w:szCs w:val="18"/>
              </w:rPr>
              <w:t xml:space="preserve"> </w:t>
            </w:r>
            <w:r w:rsidR="00CF2828" w:rsidRPr="000F779A">
              <w:rPr>
                <w:rFonts w:asciiTheme="minorHAnsi" w:eastAsia="Calibri" w:hAnsiTheme="minorHAnsi" w:cstheme="minorHAnsi"/>
                <w:sz w:val="22"/>
                <w:szCs w:val="22"/>
              </w:rPr>
              <w:t xml:space="preserve">Some payers subject to this requirement </w:t>
            </w:r>
            <w:r w:rsidR="00E159DD" w:rsidRPr="000F779A">
              <w:rPr>
                <w:rFonts w:asciiTheme="minorHAnsi" w:eastAsia="Calibri" w:hAnsiTheme="minorHAnsi" w:cstheme="minorHAnsi"/>
                <w:sz w:val="22"/>
                <w:szCs w:val="22"/>
              </w:rPr>
              <w:t>will also remain su</w:t>
            </w:r>
            <w:r w:rsidR="003F4414" w:rsidRPr="000F779A">
              <w:rPr>
                <w:rFonts w:asciiTheme="minorHAnsi" w:eastAsia="Calibri" w:hAnsiTheme="minorHAnsi" w:cstheme="minorHAnsi"/>
                <w:sz w:val="22"/>
                <w:szCs w:val="22"/>
              </w:rPr>
              <w:t>bject to existing</w:t>
            </w:r>
            <w:r w:rsidR="00E159DD" w:rsidRPr="000F779A">
              <w:rPr>
                <w:rFonts w:asciiTheme="minorHAnsi" w:eastAsia="Calibri" w:hAnsiTheme="minorHAnsi" w:cstheme="minorHAnsi"/>
                <w:sz w:val="22"/>
                <w:szCs w:val="22"/>
              </w:rPr>
              <w:t xml:space="preserve"> </w:t>
            </w:r>
            <w:r w:rsidR="003F4414" w:rsidRPr="000F779A">
              <w:rPr>
                <w:rFonts w:asciiTheme="minorHAnsi" w:eastAsia="Calibri" w:hAnsiTheme="minorHAnsi" w:cstheme="minorHAnsi"/>
                <w:sz w:val="22"/>
                <w:szCs w:val="22"/>
              </w:rPr>
              <w:t>requirements to provide notice to</w:t>
            </w:r>
            <w:r w:rsidR="00E159DD" w:rsidRPr="000F779A">
              <w:rPr>
                <w:rFonts w:asciiTheme="minorHAnsi" w:eastAsia="Calibri" w:hAnsiTheme="minorHAnsi" w:cstheme="minorHAnsi"/>
                <w:sz w:val="22"/>
                <w:szCs w:val="22"/>
              </w:rPr>
              <w:t xml:space="preserve"> </w:t>
            </w:r>
            <w:r w:rsidR="003F4414" w:rsidRPr="000F779A">
              <w:rPr>
                <w:rFonts w:asciiTheme="minorHAnsi" w:eastAsia="Calibri" w:hAnsiTheme="minorHAnsi" w:cstheme="minorHAnsi"/>
                <w:sz w:val="22"/>
                <w:szCs w:val="22"/>
              </w:rPr>
              <w:t>patients, providers, or both, with the</w:t>
            </w:r>
            <w:r w:rsidR="00E159DD" w:rsidRPr="000F779A">
              <w:rPr>
                <w:rFonts w:asciiTheme="minorHAnsi" w:eastAsia="Calibri" w:hAnsiTheme="minorHAnsi" w:cstheme="minorHAnsi"/>
                <w:sz w:val="22"/>
                <w:szCs w:val="22"/>
              </w:rPr>
              <w:t xml:space="preserve"> </w:t>
            </w:r>
            <w:r w:rsidR="003F4414" w:rsidRPr="000F779A">
              <w:rPr>
                <w:rFonts w:asciiTheme="minorHAnsi" w:eastAsia="Calibri" w:hAnsiTheme="minorHAnsi" w:cstheme="minorHAnsi"/>
                <w:sz w:val="22"/>
                <w:szCs w:val="22"/>
              </w:rPr>
              <w:t xml:space="preserve">specific reasons for the denial. </w:t>
            </w:r>
          </w:p>
          <w:p w14:paraId="151B3D8C" w14:textId="77777777" w:rsidR="00C43BDE" w:rsidRPr="000F779A" w:rsidRDefault="00C43BDE" w:rsidP="003F4414">
            <w:pPr>
              <w:spacing w:before="40" w:after="40"/>
              <w:rPr>
                <w:rFonts w:asciiTheme="minorHAnsi" w:eastAsia="Calibri" w:hAnsiTheme="minorHAnsi" w:cstheme="minorHAnsi"/>
                <w:sz w:val="22"/>
                <w:szCs w:val="22"/>
              </w:rPr>
            </w:pPr>
          </w:p>
          <w:p w14:paraId="5F61DF37" w14:textId="0531819E" w:rsidR="00942E96" w:rsidRPr="000F779A" w:rsidRDefault="003F4414" w:rsidP="00A20D45">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In</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addition, for certain payers impacted by</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this final rule, existing communication</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requirements related to coverage</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decisions, notices of coverage decisions,</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appeal processes, remain in effect</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for coverage decisions that are made as</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part of a prior authorization denial or</w:t>
            </w:r>
            <w:r w:rsidR="00E159DD"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approval. These requirements are not</w:t>
            </w:r>
            <w:r w:rsidR="00B4499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changed under this final rule</w:t>
            </w:r>
            <w:r w:rsidR="00F40B52" w:rsidRPr="000F779A">
              <w:rPr>
                <w:rFonts w:asciiTheme="minorHAnsi" w:eastAsia="Calibri" w:hAnsiTheme="minorHAnsi" w:cstheme="minorHAnsi"/>
                <w:sz w:val="22"/>
                <w:szCs w:val="22"/>
              </w:rPr>
              <w:t xml:space="preserve"> (does not apply to prior authorization of prescription drugs)</w:t>
            </w:r>
            <w:r w:rsidRPr="000F779A">
              <w:rPr>
                <w:rFonts w:asciiTheme="minorHAnsi" w:eastAsia="Calibri" w:hAnsiTheme="minorHAnsi" w:cstheme="minorHAnsi"/>
                <w:sz w:val="22"/>
                <w:szCs w:val="22"/>
              </w:rPr>
              <w:t>.</w:t>
            </w:r>
            <w:r w:rsidR="00A20D45" w:rsidRPr="000F779A">
              <w:rPr>
                <w:rFonts w:asciiTheme="minorHAnsi" w:eastAsiaTheme="minorHAnsi" w:hAnsiTheme="minorHAnsi" w:cstheme="minorHAnsi"/>
                <w:sz w:val="18"/>
                <w:szCs w:val="18"/>
              </w:rPr>
              <w:t xml:space="preserve"> </w:t>
            </w:r>
            <w:r w:rsidR="00A20D45" w:rsidRPr="000F779A">
              <w:rPr>
                <w:rFonts w:asciiTheme="minorHAnsi" w:eastAsia="Calibri" w:hAnsiTheme="minorHAnsi" w:cstheme="minorHAnsi"/>
                <w:sz w:val="22"/>
                <w:szCs w:val="22"/>
              </w:rPr>
              <w:t>We also remind all Medicaid managed care plans and CHIP managed care entities subject to this final rule that their existing obligations to provide  these required notices to patients are not</w:t>
            </w:r>
            <w:r w:rsidR="001940B1" w:rsidRPr="000F779A">
              <w:rPr>
                <w:rFonts w:asciiTheme="minorHAnsi" w:eastAsia="Calibri" w:hAnsiTheme="minorHAnsi" w:cstheme="minorHAnsi"/>
                <w:sz w:val="22"/>
                <w:szCs w:val="22"/>
              </w:rPr>
              <w:t xml:space="preserve"> </w:t>
            </w:r>
            <w:r w:rsidR="00A20D45" w:rsidRPr="000F779A">
              <w:rPr>
                <w:rFonts w:asciiTheme="minorHAnsi" w:eastAsia="Calibri" w:hAnsiTheme="minorHAnsi" w:cstheme="minorHAnsi"/>
                <w:sz w:val="22"/>
                <w:szCs w:val="22"/>
              </w:rPr>
              <w:t>changed by the final policies in this</w:t>
            </w:r>
            <w:r w:rsidR="001940B1" w:rsidRPr="000F779A">
              <w:rPr>
                <w:rFonts w:asciiTheme="minorHAnsi" w:eastAsia="Calibri" w:hAnsiTheme="minorHAnsi" w:cstheme="minorHAnsi"/>
                <w:sz w:val="22"/>
                <w:szCs w:val="22"/>
              </w:rPr>
              <w:t xml:space="preserve"> </w:t>
            </w:r>
            <w:r w:rsidR="00A20D45" w:rsidRPr="000F779A">
              <w:rPr>
                <w:rFonts w:asciiTheme="minorHAnsi" w:eastAsia="Calibri" w:hAnsiTheme="minorHAnsi" w:cstheme="minorHAnsi"/>
                <w:sz w:val="22"/>
                <w:szCs w:val="22"/>
              </w:rPr>
              <w:t>rule.</w:t>
            </w:r>
          </w:p>
          <w:p w14:paraId="1D021633" w14:textId="77777777" w:rsidR="00942E96" w:rsidRPr="000F779A" w:rsidRDefault="00942E96" w:rsidP="007C459F">
            <w:pPr>
              <w:spacing w:before="40" w:after="40"/>
              <w:rPr>
                <w:rFonts w:asciiTheme="minorHAnsi" w:eastAsia="Calibri" w:hAnsiTheme="minorHAnsi" w:cstheme="minorHAnsi"/>
                <w:sz w:val="22"/>
                <w:szCs w:val="22"/>
              </w:rPr>
            </w:pPr>
          </w:p>
          <w:p w14:paraId="55C22E4E" w14:textId="5B8AF402" w:rsidR="004353D4" w:rsidRPr="000F779A" w:rsidRDefault="009A2671" w:rsidP="007C459F">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Requires </w:t>
            </w:r>
            <w:r w:rsidR="00A2013F" w:rsidRPr="000F779A">
              <w:rPr>
                <w:rFonts w:asciiTheme="minorHAnsi" w:eastAsia="Calibri" w:hAnsiTheme="minorHAnsi" w:cstheme="minorHAnsi"/>
                <w:sz w:val="22"/>
                <w:szCs w:val="22"/>
              </w:rPr>
              <w:t xml:space="preserve">the </w:t>
            </w:r>
            <w:r w:rsidR="00AD628F" w:rsidRPr="000F779A">
              <w:rPr>
                <w:rFonts w:asciiTheme="minorHAnsi" w:eastAsia="Calibri" w:hAnsiTheme="minorHAnsi" w:cstheme="minorHAnsi"/>
                <w:sz w:val="22"/>
                <w:szCs w:val="22"/>
              </w:rPr>
              <w:t xml:space="preserve">impacted </w:t>
            </w:r>
            <w:r w:rsidR="00A2013F" w:rsidRPr="000F779A">
              <w:rPr>
                <w:rFonts w:asciiTheme="minorHAnsi" w:eastAsia="Calibri" w:hAnsiTheme="minorHAnsi" w:cstheme="minorHAnsi"/>
                <w:sz w:val="22"/>
                <w:szCs w:val="22"/>
              </w:rPr>
              <w:t xml:space="preserve">payer to maintain a </w:t>
            </w:r>
            <w:r w:rsidR="00AB182D" w:rsidRPr="000F779A">
              <w:rPr>
                <w:rFonts w:asciiTheme="minorHAnsi" w:eastAsia="Calibri" w:hAnsiTheme="minorHAnsi" w:cstheme="minorHAnsi"/>
                <w:sz w:val="22"/>
                <w:szCs w:val="22"/>
              </w:rPr>
              <w:t>P</w:t>
            </w:r>
            <w:r w:rsidR="00A2013F" w:rsidRPr="000F779A">
              <w:rPr>
                <w:rFonts w:asciiTheme="minorHAnsi" w:eastAsia="Calibri" w:hAnsiTheme="minorHAnsi" w:cstheme="minorHAnsi"/>
                <w:sz w:val="22"/>
                <w:szCs w:val="22"/>
              </w:rPr>
              <w:t xml:space="preserve">rior </w:t>
            </w:r>
            <w:r w:rsidR="00AB182D" w:rsidRPr="000F779A">
              <w:rPr>
                <w:rFonts w:asciiTheme="minorHAnsi" w:eastAsia="Calibri" w:hAnsiTheme="minorHAnsi" w:cstheme="minorHAnsi"/>
                <w:sz w:val="22"/>
                <w:szCs w:val="22"/>
              </w:rPr>
              <w:t>A</w:t>
            </w:r>
            <w:r w:rsidR="00C260D9" w:rsidRPr="000F779A">
              <w:rPr>
                <w:rFonts w:asciiTheme="minorHAnsi" w:eastAsia="Calibri" w:hAnsiTheme="minorHAnsi" w:cstheme="minorHAnsi"/>
                <w:sz w:val="22"/>
                <w:szCs w:val="22"/>
              </w:rPr>
              <w:t>uthorization</w:t>
            </w:r>
            <w:r w:rsidR="00A2013F" w:rsidRPr="000F779A">
              <w:rPr>
                <w:rFonts w:asciiTheme="minorHAnsi" w:eastAsia="Calibri" w:hAnsiTheme="minorHAnsi" w:cstheme="minorHAnsi"/>
                <w:sz w:val="22"/>
                <w:szCs w:val="22"/>
              </w:rPr>
              <w:t xml:space="preserve"> API</w:t>
            </w:r>
            <w:r w:rsidR="00BF23C3" w:rsidRPr="000F779A">
              <w:rPr>
                <w:rFonts w:asciiTheme="minorHAnsi" w:eastAsia="Calibri" w:hAnsiTheme="minorHAnsi" w:cstheme="minorHAnsi"/>
                <w:sz w:val="22"/>
                <w:szCs w:val="22"/>
              </w:rPr>
              <w:t>.</w:t>
            </w:r>
            <w:r w:rsidR="0066147F" w:rsidRPr="000F779A">
              <w:rPr>
                <w:rFonts w:asciiTheme="minorHAnsi" w:eastAsia="Calibri" w:hAnsiTheme="minorHAnsi" w:cstheme="minorHAnsi"/>
                <w:sz w:val="22"/>
                <w:szCs w:val="22"/>
              </w:rPr>
              <w:t xml:space="preserve"> </w:t>
            </w:r>
            <w:r w:rsidR="00056E07" w:rsidRPr="000F779A">
              <w:rPr>
                <w:rFonts w:asciiTheme="minorHAnsi" w:eastAsia="Calibri" w:hAnsiTheme="minorHAnsi" w:cstheme="minorHAnsi"/>
                <w:sz w:val="22"/>
                <w:szCs w:val="22"/>
              </w:rPr>
              <w:t xml:space="preserve">Prior authorization of prescription drugs </w:t>
            </w:r>
            <w:r w:rsidR="00B01598" w:rsidRPr="000F779A">
              <w:rPr>
                <w:rFonts w:asciiTheme="minorHAnsi" w:eastAsia="Calibri" w:hAnsiTheme="minorHAnsi" w:cstheme="minorHAnsi"/>
                <w:sz w:val="22"/>
                <w:szCs w:val="22"/>
              </w:rPr>
              <w:t xml:space="preserve">is </w:t>
            </w:r>
            <w:r w:rsidR="00056E07" w:rsidRPr="000F779A">
              <w:rPr>
                <w:rFonts w:asciiTheme="minorHAnsi" w:eastAsia="Calibri" w:hAnsiTheme="minorHAnsi" w:cstheme="minorHAnsi"/>
                <w:sz w:val="22"/>
                <w:szCs w:val="22"/>
              </w:rPr>
              <w:t xml:space="preserve">excluded from the </w:t>
            </w:r>
            <w:r w:rsidR="00B01598" w:rsidRPr="000F779A">
              <w:rPr>
                <w:rFonts w:asciiTheme="minorHAnsi" w:eastAsia="Calibri" w:hAnsiTheme="minorHAnsi" w:cstheme="minorHAnsi"/>
                <w:sz w:val="22"/>
                <w:szCs w:val="22"/>
              </w:rPr>
              <w:t>P</w:t>
            </w:r>
            <w:r w:rsidR="00056E07" w:rsidRPr="000F779A">
              <w:rPr>
                <w:rFonts w:asciiTheme="minorHAnsi" w:eastAsia="Calibri" w:hAnsiTheme="minorHAnsi" w:cstheme="minorHAnsi"/>
                <w:sz w:val="22"/>
                <w:szCs w:val="22"/>
              </w:rPr>
              <w:t xml:space="preserve">rior </w:t>
            </w:r>
            <w:r w:rsidR="00B01598" w:rsidRPr="000F779A">
              <w:rPr>
                <w:rFonts w:asciiTheme="minorHAnsi" w:eastAsia="Calibri" w:hAnsiTheme="minorHAnsi" w:cstheme="minorHAnsi"/>
                <w:sz w:val="22"/>
                <w:szCs w:val="22"/>
              </w:rPr>
              <w:t>A</w:t>
            </w:r>
            <w:r w:rsidR="00056E07" w:rsidRPr="000F779A">
              <w:rPr>
                <w:rFonts w:asciiTheme="minorHAnsi" w:eastAsia="Calibri" w:hAnsiTheme="minorHAnsi" w:cstheme="minorHAnsi"/>
                <w:sz w:val="22"/>
                <w:szCs w:val="22"/>
              </w:rPr>
              <w:t>uth</w:t>
            </w:r>
            <w:r w:rsidR="003249B5" w:rsidRPr="000F779A">
              <w:rPr>
                <w:rFonts w:asciiTheme="minorHAnsi" w:eastAsia="Calibri" w:hAnsiTheme="minorHAnsi" w:cstheme="minorHAnsi"/>
                <w:sz w:val="22"/>
                <w:szCs w:val="22"/>
              </w:rPr>
              <w:t>orization API.</w:t>
            </w:r>
          </w:p>
          <w:p w14:paraId="11A5F035" w14:textId="77777777" w:rsidR="00F53072" w:rsidRPr="000F779A" w:rsidRDefault="00F53072" w:rsidP="007C459F">
            <w:pPr>
              <w:spacing w:before="40" w:after="40"/>
              <w:rPr>
                <w:rFonts w:asciiTheme="minorHAnsi" w:eastAsia="Calibri" w:hAnsiTheme="minorHAnsi" w:cstheme="minorHAnsi"/>
                <w:sz w:val="22"/>
                <w:szCs w:val="22"/>
              </w:rPr>
            </w:pPr>
          </w:p>
          <w:p w14:paraId="2E6F21BD" w14:textId="741DB893" w:rsidR="00A14FC5" w:rsidRPr="000F779A" w:rsidRDefault="00F53072" w:rsidP="006C6410">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Providers can use the Prior</w:t>
            </w:r>
            <w:r w:rsidR="00AB4C1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API to determine whether</w:t>
            </w:r>
            <w:r w:rsidR="00AB4C1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 specific payer requires prior</w:t>
            </w:r>
            <w:r w:rsidR="00AB4C1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for a certain item or</w:t>
            </w:r>
            <w:r w:rsidR="00AB4C1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service, thereby easing one of the major</w:t>
            </w:r>
            <w:r w:rsidR="00AB4C1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points of administrative burden in the</w:t>
            </w:r>
            <w:r w:rsidR="00AB4C1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existing prior authorization process. The</w:t>
            </w:r>
            <w:r w:rsidR="00AB4C1B"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Prior Authorization API will also allow</w:t>
            </w:r>
            <w:r w:rsidR="00C43BDE" w:rsidRPr="000F779A">
              <w:rPr>
                <w:rFonts w:asciiTheme="minorHAnsi" w:eastAsia="Calibri" w:hAnsiTheme="minorHAnsi" w:cstheme="minorHAnsi"/>
                <w:sz w:val="22"/>
                <w:szCs w:val="22"/>
              </w:rPr>
              <w:t xml:space="preserve"> p</w:t>
            </w:r>
            <w:r w:rsidRPr="000F779A">
              <w:rPr>
                <w:rFonts w:asciiTheme="minorHAnsi" w:eastAsia="Calibri" w:hAnsiTheme="minorHAnsi" w:cstheme="minorHAnsi"/>
                <w:sz w:val="22"/>
                <w:szCs w:val="22"/>
              </w:rPr>
              <w:t>roviders to query the payer’s prior</w:t>
            </w:r>
            <w:r w:rsidR="006C641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documentation</w:t>
            </w:r>
            <w:r w:rsidR="006C641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requirements directly from the</w:t>
            </w:r>
            <w:r w:rsidR="006C641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provider’s system, which could</w:t>
            </w:r>
            <w:r w:rsidR="006C641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facilitate the automated compilation of</w:t>
            </w:r>
            <w:r w:rsidR="006C641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necessary information to submit a prior</w:t>
            </w:r>
            <w:r w:rsidR="006C641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authorization request. </w:t>
            </w:r>
          </w:p>
        </w:tc>
      </w:tr>
      <w:tr w:rsidR="00BA305E" w:rsidRPr="000F779A" w14:paraId="1A5057A1" w14:textId="77777777" w:rsidTr="00F02546">
        <w:tc>
          <w:tcPr>
            <w:tcW w:w="2317" w:type="dxa"/>
            <w:shd w:val="clear" w:color="auto" w:fill="auto"/>
          </w:tcPr>
          <w:p w14:paraId="4847CBDE" w14:textId="57810CC3" w:rsidR="00BA305E" w:rsidRPr="000F779A" w:rsidRDefault="00BA305E" w:rsidP="00C950AC">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Amend §431.201 by—</w:t>
            </w:r>
          </w:p>
          <w:p w14:paraId="3D8F8C7B" w14:textId="77777777" w:rsidR="00BA305E" w:rsidRPr="000F779A" w:rsidRDefault="00BA305E" w:rsidP="00C950AC">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Revising the definition of ‘‘Action’’. </w:t>
            </w:r>
          </w:p>
          <w:p w14:paraId="0457E8D5" w14:textId="77777777" w:rsidR="00332931" w:rsidRPr="000F779A" w:rsidRDefault="00332931" w:rsidP="00C950AC">
            <w:pPr>
              <w:spacing w:before="40" w:after="40"/>
              <w:rPr>
                <w:rFonts w:asciiTheme="minorHAnsi" w:eastAsia="Calibri" w:hAnsiTheme="minorHAnsi" w:cstheme="minorHAnsi"/>
                <w:sz w:val="22"/>
                <w:szCs w:val="22"/>
              </w:rPr>
            </w:pPr>
          </w:p>
          <w:p w14:paraId="44C8D463" w14:textId="77777777" w:rsidR="00332931" w:rsidRPr="000F779A" w:rsidRDefault="00332931" w:rsidP="00332931">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00B6F626" w14:textId="6788B47A" w:rsidR="00332931" w:rsidRPr="000F779A" w:rsidRDefault="00332931" w:rsidP="00332931">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The effective date of the final rule.</w:t>
            </w:r>
          </w:p>
          <w:p w14:paraId="3629C77D" w14:textId="77777777" w:rsidR="00821C26" w:rsidRPr="000F779A" w:rsidRDefault="00821C26" w:rsidP="00C950AC">
            <w:pPr>
              <w:spacing w:before="40" w:after="40"/>
              <w:rPr>
                <w:rFonts w:asciiTheme="minorHAnsi" w:eastAsia="Calibri" w:hAnsiTheme="minorHAnsi" w:cstheme="minorHAnsi"/>
                <w:sz w:val="22"/>
                <w:szCs w:val="22"/>
              </w:rPr>
            </w:pPr>
          </w:p>
          <w:p w14:paraId="78E4A2F0" w14:textId="363FA7E8" w:rsidR="00821C26" w:rsidRPr="000F779A" w:rsidRDefault="00821C26" w:rsidP="00C950AC">
            <w:pPr>
              <w:spacing w:before="40" w:after="40"/>
              <w:rPr>
                <w:rFonts w:asciiTheme="minorHAnsi" w:eastAsia="Calibri" w:hAnsiTheme="minorHAnsi" w:cstheme="minorHAnsi"/>
                <w:b/>
                <w:bCs/>
                <w:i/>
                <w:iCs/>
                <w:sz w:val="22"/>
                <w:szCs w:val="22"/>
              </w:rPr>
            </w:pPr>
          </w:p>
        </w:tc>
        <w:tc>
          <w:tcPr>
            <w:tcW w:w="7290" w:type="dxa"/>
            <w:shd w:val="clear" w:color="auto" w:fill="auto"/>
          </w:tcPr>
          <w:p w14:paraId="54B6BAB2" w14:textId="77777777" w:rsidR="00BA305E" w:rsidRPr="000F779A" w:rsidRDefault="00BA305E" w:rsidP="004D7436">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§431.201 Definitions.</w:t>
            </w:r>
          </w:p>
          <w:p w14:paraId="4A813E03" w14:textId="77777777" w:rsidR="00BA305E" w:rsidRPr="000F779A" w:rsidRDefault="00BA305E" w:rsidP="006B0114">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t>Action</w:t>
            </w:r>
            <w:r w:rsidRPr="000F779A">
              <w:rPr>
                <w:rFonts w:asciiTheme="minorHAnsi" w:eastAsia="Calibri" w:hAnsiTheme="minorHAnsi" w:cstheme="minorHAnsi"/>
                <w:i/>
                <w:iCs/>
                <w:sz w:val="22"/>
                <w:szCs w:val="22"/>
              </w:rPr>
              <w:t xml:space="preserve"> </w:t>
            </w:r>
            <w:r w:rsidRPr="000F779A">
              <w:rPr>
                <w:rFonts w:asciiTheme="minorHAnsi" w:eastAsia="Calibri" w:hAnsiTheme="minorHAnsi" w:cstheme="minorHAnsi"/>
                <w:sz w:val="22"/>
                <w:szCs w:val="22"/>
              </w:rPr>
              <w:t>means one of the following:</w:t>
            </w:r>
          </w:p>
          <w:p w14:paraId="27AA82D0" w14:textId="761BECEB" w:rsidR="00BA305E" w:rsidRPr="000F779A" w:rsidRDefault="00BA305E" w:rsidP="006B0114">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(1) A termination, suspension of, or reduction in covered benefits or services, including benefits or services for which there is a current approved prior authorization;</w:t>
            </w:r>
          </w:p>
          <w:p w14:paraId="576B1606" w14:textId="0DD9E972" w:rsidR="00BA305E" w:rsidRPr="000F779A" w:rsidRDefault="00BA305E" w:rsidP="006B0114">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(2) A termination, suspension of, or reduction in Medicaid eligibility, or an increase in beneficiary liability, including a determination that a beneficiary must incur a greater amount of medical expenses to establish income eligibility in accordance with §435.121(e)(4) or §435.831 of this chapter;</w:t>
            </w:r>
          </w:p>
          <w:p w14:paraId="7E083C88" w14:textId="5B3530BA" w:rsidR="00BA305E" w:rsidRPr="000F779A" w:rsidRDefault="00BA305E" w:rsidP="006B0114">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(3) A determination that a beneficiary is subject to an increase in premiums or cost-sharing charges under subpart A of part 447 of this chapter; or</w:t>
            </w:r>
          </w:p>
          <w:p w14:paraId="764BD1E9" w14:textId="47274A89" w:rsidR="00BA305E" w:rsidRPr="000F779A" w:rsidRDefault="00BA305E" w:rsidP="006B0114">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(4) A determination by a skilled nursing facility or nursing facility to transfer or discharge a resident and an adverse determination by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regarding the preadmission screening and resident review requirements of section 1919(e)(7) of the Act.</w:t>
            </w:r>
          </w:p>
        </w:tc>
        <w:tc>
          <w:tcPr>
            <w:tcW w:w="4140" w:type="dxa"/>
            <w:shd w:val="clear" w:color="auto" w:fill="auto"/>
          </w:tcPr>
          <w:p w14:paraId="67DBD38C" w14:textId="77777777" w:rsidR="00BA305E" w:rsidRPr="000F779A" w:rsidRDefault="00F72A70" w:rsidP="007C459F">
            <w:pPr>
              <w:spacing w:before="40" w:after="40"/>
              <w:rPr>
                <w:rFonts w:asciiTheme="minorHAnsi" w:eastAsia="Calibri" w:hAnsiTheme="minorHAnsi" w:cstheme="minorHAnsi"/>
                <w:b/>
                <w:bCs/>
                <w:sz w:val="22"/>
                <w:szCs w:val="22"/>
              </w:rPr>
            </w:pPr>
            <w:r w:rsidRPr="000F779A">
              <w:rPr>
                <w:rFonts w:asciiTheme="minorHAnsi" w:eastAsia="Calibri" w:hAnsiTheme="minorHAnsi" w:cstheme="minorHAnsi"/>
                <w:b/>
                <w:bCs/>
                <w:i/>
                <w:iCs/>
                <w:sz w:val="22"/>
                <w:szCs w:val="22"/>
              </w:rPr>
              <w:lastRenderedPageBreak/>
              <w:t>Note:</w:t>
            </w:r>
            <w:r w:rsidRPr="000F779A">
              <w:rPr>
                <w:rFonts w:asciiTheme="minorHAnsi" w:eastAsia="Calibri" w:hAnsiTheme="minorHAnsi" w:cstheme="minorHAnsi"/>
                <w:b/>
                <w:bCs/>
                <w:sz w:val="22"/>
                <w:szCs w:val="22"/>
              </w:rPr>
              <w:t xml:space="preserve"> </w:t>
            </w:r>
            <w:r w:rsidRPr="000F779A">
              <w:rPr>
                <w:rFonts w:asciiTheme="minorHAnsi" w:eastAsia="Calibri" w:hAnsiTheme="minorHAnsi" w:cstheme="minorHAnsi"/>
                <w:sz w:val="22"/>
                <w:szCs w:val="22"/>
              </w:rPr>
              <w:t>Terminology used in Medicaid and CHIP FFS programs continu</w:t>
            </w:r>
            <w:r w:rsidR="00793922" w:rsidRPr="000F779A">
              <w:rPr>
                <w:rFonts w:asciiTheme="minorHAnsi" w:eastAsia="Calibri" w:hAnsiTheme="minorHAnsi" w:cstheme="minorHAnsi"/>
                <w:sz w:val="22"/>
                <w:szCs w:val="22"/>
              </w:rPr>
              <w:t>e to differ from terminology used in managed care programs (e.g., action, notice of adverse benefit determination</w:t>
            </w:r>
            <w:r w:rsidR="00FE110A" w:rsidRPr="000F779A">
              <w:rPr>
                <w:rFonts w:asciiTheme="minorHAnsi" w:eastAsia="Calibri" w:hAnsiTheme="minorHAnsi" w:cstheme="minorHAnsi"/>
                <w:sz w:val="22"/>
                <w:szCs w:val="22"/>
              </w:rPr>
              <w:t>).</w:t>
            </w:r>
            <w:r w:rsidRPr="000F779A">
              <w:rPr>
                <w:rFonts w:asciiTheme="minorHAnsi" w:eastAsia="Calibri" w:hAnsiTheme="minorHAnsi" w:cstheme="minorHAnsi"/>
                <w:b/>
                <w:bCs/>
                <w:sz w:val="22"/>
                <w:szCs w:val="22"/>
              </w:rPr>
              <w:t xml:space="preserve"> </w:t>
            </w:r>
          </w:p>
          <w:p w14:paraId="62816D70" w14:textId="09EE78B1" w:rsidR="00B06837" w:rsidRPr="000F779A" w:rsidRDefault="00B06837" w:rsidP="007C459F">
            <w:pPr>
              <w:spacing w:before="40" w:after="40"/>
              <w:rPr>
                <w:rFonts w:asciiTheme="minorHAnsi" w:eastAsia="Calibri" w:hAnsiTheme="minorHAnsi" w:cstheme="minorHAnsi"/>
                <w:b/>
                <w:bCs/>
                <w:sz w:val="22"/>
                <w:szCs w:val="22"/>
              </w:rPr>
            </w:pPr>
          </w:p>
        </w:tc>
      </w:tr>
      <w:tr w:rsidR="00222304" w:rsidRPr="000F779A" w14:paraId="1C8F6F99" w14:textId="77777777" w:rsidTr="00F02546">
        <w:tc>
          <w:tcPr>
            <w:tcW w:w="2317" w:type="dxa"/>
            <w:shd w:val="clear" w:color="auto" w:fill="auto"/>
          </w:tcPr>
          <w:p w14:paraId="49CDD385" w14:textId="77777777" w:rsidR="00222304" w:rsidRPr="000F779A" w:rsidRDefault="00222304" w:rsidP="00654AAC">
            <w:pPr>
              <w:pageBreakBefore/>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lastRenderedPageBreak/>
              <w:t>Amend §431.220 by—</w:t>
            </w:r>
            <w:r w:rsidRPr="000F779A">
              <w:rPr>
                <w:rFonts w:asciiTheme="minorHAnsi" w:eastAsia="Calibri" w:hAnsiTheme="minorHAnsi" w:cstheme="minorHAnsi"/>
                <w:sz w:val="22"/>
                <w:szCs w:val="22"/>
              </w:rPr>
              <w:t xml:space="preserve"> </w:t>
            </w:r>
          </w:p>
          <w:p w14:paraId="644BA57B" w14:textId="77777777" w:rsidR="00222304" w:rsidRPr="000F779A" w:rsidRDefault="00222304" w:rsidP="004C5457">
            <w:pPr>
              <w:pStyle w:val="ListParagraph"/>
              <w:numPr>
                <w:ilvl w:val="0"/>
                <w:numId w:val="20"/>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In paragraph (a)(1)(iv), removing the term ‘‘or’’ from the end of the paragraph.</w:t>
            </w:r>
          </w:p>
          <w:p w14:paraId="10762060" w14:textId="77777777" w:rsidR="00222304" w:rsidRPr="000F779A" w:rsidRDefault="00222304" w:rsidP="00604587">
            <w:pPr>
              <w:pStyle w:val="ListParagraph"/>
              <w:numPr>
                <w:ilvl w:val="0"/>
                <w:numId w:val="20"/>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In paragraph (a)(1)(v), removing the period from the end of the paragraph and adding in its place ‘‘; or’’.</w:t>
            </w:r>
          </w:p>
          <w:p w14:paraId="5669B897" w14:textId="77777777" w:rsidR="00FD615C" w:rsidRPr="000F779A" w:rsidRDefault="00222304" w:rsidP="00FD615C">
            <w:pPr>
              <w:pStyle w:val="ListParagraph"/>
              <w:numPr>
                <w:ilvl w:val="0"/>
                <w:numId w:val="20"/>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Adding paragraph (a)(1)(vi).</w:t>
            </w:r>
          </w:p>
          <w:p w14:paraId="33B719C0" w14:textId="77777777" w:rsidR="00A1547F" w:rsidRPr="000F779A" w:rsidRDefault="00A1547F" w:rsidP="00A1547F">
            <w:pPr>
              <w:spacing w:before="40" w:after="40"/>
              <w:rPr>
                <w:rFonts w:asciiTheme="minorHAnsi" w:eastAsia="Calibri" w:hAnsiTheme="minorHAnsi" w:cstheme="minorHAnsi"/>
                <w:sz w:val="22"/>
                <w:szCs w:val="22"/>
              </w:rPr>
            </w:pPr>
          </w:p>
          <w:p w14:paraId="5E2E851B" w14:textId="77777777" w:rsidR="00A1547F" w:rsidRPr="000F779A" w:rsidRDefault="00C4241F" w:rsidP="00A1547F">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4A5E9FA9" w14:textId="16539917" w:rsidR="00C4241F" w:rsidRPr="000F779A" w:rsidRDefault="00C4241F" w:rsidP="00A1547F">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The effective date of the final rule</w:t>
            </w:r>
            <w:r w:rsidR="00AC60E6" w:rsidRPr="000F779A">
              <w:rPr>
                <w:rFonts w:asciiTheme="minorHAnsi" w:eastAsia="Calibri" w:hAnsiTheme="minorHAnsi" w:cstheme="minorHAnsi"/>
                <w:sz w:val="22"/>
                <w:szCs w:val="22"/>
              </w:rPr>
              <w:t>.</w:t>
            </w:r>
          </w:p>
        </w:tc>
        <w:tc>
          <w:tcPr>
            <w:tcW w:w="7290" w:type="dxa"/>
            <w:shd w:val="clear" w:color="auto" w:fill="auto"/>
          </w:tcPr>
          <w:p w14:paraId="32EDEF24" w14:textId="77777777" w:rsidR="00222304" w:rsidRPr="000F779A" w:rsidRDefault="00222304" w:rsidP="004D7436">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§431.220 When a hearing is required.</w:t>
            </w:r>
          </w:p>
          <w:p w14:paraId="2B1FEB5D" w14:textId="6BDEC9D0" w:rsidR="00222304" w:rsidRPr="000F779A" w:rsidRDefault="00222304" w:rsidP="004E64A7">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(a)(1) (vi) A prior authorization decision.</w:t>
            </w:r>
          </w:p>
        </w:tc>
        <w:tc>
          <w:tcPr>
            <w:tcW w:w="4140" w:type="dxa"/>
            <w:shd w:val="clear" w:color="auto" w:fill="auto"/>
          </w:tcPr>
          <w:p w14:paraId="6DF2F639" w14:textId="77777777" w:rsidR="00222304" w:rsidRPr="000F779A" w:rsidRDefault="00AC0F07" w:rsidP="00AC0F07">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A commenter stated that there needs to be more clarification in the rule that existing Medicaid beneficiary notice and fair hearing rights apply to prior authorization decisions for Medicaid FFS beneficiaries.</w:t>
            </w:r>
          </w:p>
          <w:p w14:paraId="5F452265" w14:textId="77777777" w:rsidR="00AC0F07" w:rsidRPr="000F779A" w:rsidRDefault="00AC0F07" w:rsidP="00AC0F07">
            <w:pPr>
              <w:spacing w:before="40" w:after="40"/>
              <w:rPr>
                <w:rFonts w:asciiTheme="minorHAnsi" w:eastAsia="Calibri" w:hAnsiTheme="minorHAnsi" w:cstheme="minorHAnsi"/>
                <w:sz w:val="22"/>
                <w:szCs w:val="22"/>
              </w:rPr>
            </w:pPr>
          </w:p>
          <w:p w14:paraId="2F279517" w14:textId="56E4C392" w:rsidR="00AC0F07" w:rsidRPr="000F779A" w:rsidRDefault="008401E7" w:rsidP="00187199">
            <w:pPr>
              <w:spacing w:before="40" w:after="40"/>
              <w:rPr>
                <w:rFonts w:asciiTheme="minorHAnsi" w:eastAsia="Calibri" w:hAnsiTheme="minorHAnsi" w:cstheme="minorHAnsi"/>
                <w:sz w:val="22"/>
                <w:szCs w:val="22"/>
              </w:rPr>
            </w:pPr>
            <w:r w:rsidRPr="000F779A">
              <w:rPr>
                <w:rFonts w:asciiTheme="minorHAnsi" w:eastAsia="Calibri" w:hAnsiTheme="minorHAnsi" w:cstheme="minorHAnsi"/>
                <w:i/>
                <w:iCs/>
                <w:sz w:val="22"/>
                <w:szCs w:val="22"/>
              </w:rPr>
              <w:t>Response:</w:t>
            </w:r>
            <w:r w:rsidRPr="000F779A">
              <w:rPr>
                <w:rFonts w:asciiTheme="minorHAnsi" w:eastAsia="Calibri" w:hAnsiTheme="minorHAnsi" w:cstheme="minorHAnsi"/>
                <w:sz w:val="22"/>
                <w:szCs w:val="22"/>
              </w:rPr>
              <w:t xml:space="preserve"> </w:t>
            </w:r>
            <w:r w:rsidR="00187199" w:rsidRPr="000F779A">
              <w:rPr>
                <w:rFonts w:asciiTheme="minorHAnsi" w:eastAsia="Calibri" w:hAnsiTheme="minorHAnsi" w:cstheme="minorHAnsi"/>
                <w:sz w:val="22"/>
                <w:szCs w:val="22"/>
              </w:rPr>
              <w:t>The existing requirements for the fair hearing process at 42 CFR part 431, subpart E, apply to Medicaid FFS prior authorization fair hearings.</w:t>
            </w:r>
          </w:p>
        </w:tc>
      </w:tr>
    </w:tbl>
    <w:p w14:paraId="27088062" w14:textId="0A8EE68D" w:rsidR="004C5F10" w:rsidRPr="000F779A" w:rsidRDefault="004C5F10">
      <w:pPr>
        <w:rPr>
          <w:rFonts w:asciiTheme="minorHAnsi" w:hAnsiTheme="minorHAnsi" w:cstheme="minorHAnsi"/>
          <w:sz w:val="16"/>
          <w:szCs w:val="16"/>
        </w:rPr>
      </w:pPr>
    </w:p>
    <w:p w14:paraId="272F7342" w14:textId="77777777" w:rsidR="004C5F10" w:rsidRPr="000F779A" w:rsidRDefault="004C5F10">
      <w:pPr>
        <w:rPr>
          <w:rFonts w:asciiTheme="minorHAnsi" w:hAnsiTheme="minorHAnsi" w:cstheme="minorHAnsi"/>
          <w:sz w:val="16"/>
          <w:szCs w:val="16"/>
        </w:rPr>
      </w:pPr>
    </w:p>
    <w:tbl>
      <w:tblPr>
        <w:tblW w:w="1383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7200"/>
        <w:gridCol w:w="4320"/>
      </w:tblGrid>
      <w:tr w:rsidR="003B773F" w:rsidRPr="000F779A" w14:paraId="442B7341" w14:textId="77777777" w:rsidTr="00493899">
        <w:trPr>
          <w:trHeight w:val="360"/>
          <w:tblHeader/>
        </w:trPr>
        <w:tc>
          <w:tcPr>
            <w:tcW w:w="13837" w:type="dxa"/>
            <w:gridSpan w:val="3"/>
            <w:shd w:val="clear" w:color="auto" w:fill="4472C4" w:themeFill="accent1"/>
            <w:vAlign w:val="center"/>
          </w:tcPr>
          <w:p w14:paraId="7CDCF838" w14:textId="50852FCF" w:rsidR="003B773F" w:rsidRPr="000F779A" w:rsidRDefault="003B773F" w:rsidP="00900F6B">
            <w:pPr>
              <w:jc w:val="center"/>
              <w:rPr>
                <w:rFonts w:asciiTheme="minorHAnsi" w:eastAsia="Calibri" w:hAnsiTheme="minorHAnsi" w:cstheme="minorHAnsi"/>
                <w:b/>
                <w:color w:val="FFFFFF" w:themeColor="background1"/>
                <w:sz w:val="22"/>
                <w:szCs w:val="22"/>
              </w:rPr>
            </w:pPr>
            <w:bookmarkStart w:id="3" w:name="_Hlk135645046"/>
            <w:bookmarkStart w:id="4" w:name="_Hlk136521777"/>
            <w:r w:rsidRPr="000F779A">
              <w:rPr>
                <w:rFonts w:asciiTheme="minorHAnsi" w:eastAsia="Calibri" w:hAnsiTheme="minorHAnsi" w:cstheme="minorHAnsi"/>
                <w:b/>
                <w:color w:val="FFFFFF" w:themeColor="background1"/>
                <w:sz w:val="22"/>
                <w:szCs w:val="22"/>
              </w:rPr>
              <w:lastRenderedPageBreak/>
              <w:t>Changes/</w:t>
            </w:r>
            <w:r w:rsidR="00CD28D4" w:rsidRPr="000F779A">
              <w:rPr>
                <w:rFonts w:asciiTheme="minorHAnsi" w:eastAsia="Calibri" w:hAnsiTheme="minorHAnsi" w:cstheme="minorHAnsi"/>
                <w:b/>
                <w:color w:val="FFFFFF" w:themeColor="background1"/>
                <w:sz w:val="22"/>
                <w:szCs w:val="22"/>
              </w:rPr>
              <w:t>Potential Impact—As Finalized</w:t>
            </w:r>
          </w:p>
        </w:tc>
      </w:tr>
      <w:tr w:rsidR="00F61645" w:rsidRPr="000F779A" w14:paraId="52D63E34" w14:textId="77777777" w:rsidTr="00493899">
        <w:trPr>
          <w:trHeight w:val="360"/>
          <w:tblHeader/>
        </w:trPr>
        <w:tc>
          <w:tcPr>
            <w:tcW w:w="13837" w:type="dxa"/>
            <w:gridSpan w:val="3"/>
            <w:shd w:val="clear" w:color="auto" w:fill="FFC000" w:themeFill="accent4"/>
            <w:vAlign w:val="center"/>
          </w:tcPr>
          <w:p w14:paraId="2B4D62DB" w14:textId="2332D019" w:rsidR="00F61645" w:rsidRPr="000F779A" w:rsidRDefault="00F61645" w:rsidP="00900F6B">
            <w:pPr>
              <w:jc w:val="center"/>
              <w:rPr>
                <w:rFonts w:asciiTheme="minorHAnsi" w:eastAsia="Calibri" w:hAnsiTheme="minorHAnsi" w:cstheme="minorHAnsi"/>
                <w:b/>
                <w:color w:val="FFFFFF" w:themeColor="background1"/>
                <w:sz w:val="22"/>
                <w:szCs w:val="22"/>
              </w:rPr>
            </w:pPr>
            <w:r w:rsidRPr="000F779A">
              <w:rPr>
                <w:rFonts w:asciiTheme="minorHAnsi" w:eastAsia="Calibri" w:hAnsiTheme="minorHAnsi" w:cstheme="minorHAnsi"/>
                <w:b/>
                <w:sz w:val="22"/>
                <w:szCs w:val="22"/>
              </w:rPr>
              <w:t xml:space="preserve">Changes Related to </w:t>
            </w:r>
            <w:r w:rsidR="0058633C" w:rsidRPr="000F779A">
              <w:rPr>
                <w:rFonts w:asciiTheme="minorHAnsi" w:eastAsia="Calibri" w:hAnsiTheme="minorHAnsi" w:cstheme="minorHAnsi"/>
                <w:b/>
                <w:bCs/>
                <w:sz w:val="22"/>
                <w:szCs w:val="22"/>
              </w:rPr>
              <w:t xml:space="preserve">Part 435—Eligibility </w:t>
            </w:r>
          </w:p>
        </w:tc>
      </w:tr>
      <w:tr w:rsidR="00222304" w:rsidRPr="000F779A" w14:paraId="2B965E74" w14:textId="1A5255DC" w:rsidTr="00222304">
        <w:trPr>
          <w:trHeight w:val="360"/>
          <w:tblHeader/>
        </w:trPr>
        <w:tc>
          <w:tcPr>
            <w:tcW w:w="2317" w:type="dxa"/>
            <w:shd w:val="clear" w:color="auto" w:fill="DEEAF6" w:themeFill="accent5" w:themeFillTint="33"/>
            <w:vAlign w:val="center"/>
          </w:tcPr>
          <w:p w14:paraId="5D13842B" w14:textId="6EA136D0" w:rsidR="00222304" w:rsidRPr="000F779A" w:rsidRDefault="00222304" w:rsidP="007E2F81">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Change and Applicability Dates</w:t>
            </w:r>
          </w:p>
        </w:tc>
        <w:tc>
          <w:tcPr>
            <w:tcW w:w="7200" w:type="dxa"/>
            <w:shd w:val="clear" w:color="auto" w:fill="DEEAF6" w:themeFill="accent5" w:themeFillTint="33"/>
            <w:vAlign w:val="center"/>
          </w:tcPr>
          <w:p w14:paraId="4BFA2AA3" w14:textId="1D55DECB" w:rsidR="00222304" w:rsidRPr="000F779A" w:rsidRDefault="00222304" w:rsidP="007E2F81">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 xml:space="preserve">Summary of Changes </w:t>
            </w:r>
          </w:p>
        </w:tc>
        <w:tc>
          <w:tcPr>
            <w:tcW w:w="4320" w:type="dxa"/>
            <w:shd w:val="clear" w:color="auto" w:fill="DEEAF6" w:themeFill="accent5" w:themeFillTint="33"/>
            <w:vAlign w:val="center"/>
          </w:tcPr>
          <w:p w14:paraId="1552FBE6" w14:textId="4AFBF73F" w:rsidR="00222304" w:rsidRPr="000F779A" w:rsidRDefault="00222304" w:rsidP="007E2F81">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CMS Discussion Highlights</w:t>
            </w:r>
          </w:p>
        </w:tc>
      </w:tr>
      <w:bookmarkEnd w:id="3"/>
      <w:bookmarkEnd w:id="4"/>
      <w:tr w:rsidR="00222304" w:rsidRPr="000F779A" w14:paraId="4E2B7FEE" w14:textId="77777777" w:rsidTr="00222304">
        <w:tc>
          <w:tcPr>
            <w:tcW w:w="2317" w:type="dxa"/>
            <w:shd w:val="clear" w:color="auto" w:fill="auto"/>
          </w:tcPr>
          <w:p w14:paraId="7BBA5899" w14:textId="69DC5F48" w:rsidR="00263472" w:rsidRPr="000F779A" w:rsidRDefault="00263472" w:rsidP="00263472">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t>Amend §435.917 by—</w:t>
            </w:r>
            <w:r w:rsidRPr="000F779A">
              <w:rPr>
                <w:rFonts w:asciiTheme="minorHAnsi" w:eastAsia="Calibri" w:hAnsiTheme="minorHAnsi" w:cstheme="minorHAnsi"/>
                <w:sz w:val="22"/>
                <w:szCs w:val="22"/>
              </w:rPr>
              <w:t xml:space="preserve"> </w:t>
            </w:r>
          </w:p>
          <w:p w14:paraId="33F08809" w14:textId="5B7170C2" w:rsidR="004278F6" w:rsidRPr="000F779A" w:rsidRDefault="004278F6" w:rsidP="004278F6">
            <w:pPr>
              <w:pStyle w:val="ListParagraph"/>
              <w:numPr>
                <w:ilvl w:val="0"/>
                <w:numId w:val="21"/>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the headings of paragraphs (a) and (b).</w:t>
            </w:r>
          </w:p>
          <w:p w14:paraId="4AA1F2F8" w14:textId="77777777" w:rsidR="00222304" w:rsidRPr="000F779A" w:rsidRDefault="004278F6" w:rsidP="004278F6">
            <w:pPr>
              <w:pStyle w:val="ListParagraph"/>
              <w:numPr>
                <w:ilvl w:val="0"/>
                <w:numId w:val="21"/>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 (b)(2).</w:t>
            </w:r>
          </w:p>
          <w:p w14:paraId="2D320BC1" w14:textId="77777777" w:rsidR="00CB243E" w:rsidRPr="000F779A" w:rsidRDefault="00CB243E" w:rsidP="00CB243E">
            <w:pPr>
              <w:spacing w:before="40" w:after="40"/>
              <w:rPr>
                <w:rFonts w:asciiTheme="minorHAnsi" w:eastAsia="Calibri" w:hAnsiTheme="minorHAnsi" w:cstheme="minorHAnsi"/>
                <w:sz w:val="22"/>
                <w:szCs w:val="22"/>
              </w:rPr>
            </w:pPr>
          </w:p>
          <w:p w14:paraId="59143962" w14:textId="77777777" w:rsidR="00894D0E" w:rsidRPr="000F779A" w:rsidRDefault="00894D0E" w:rsidP="00894D0E">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229197CB" w14:textId="1CE1D32A" w:rsidR="00CB243E" w:rsidRPr="000F779A" w:rsidRDefault="00DE5898" w:rsidP="00894D0E">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The effective date of the final rule.</w:t>
            </w:r>
          </w:p>
        </w:tc>
        <w:tc>
          <w:tcPr>
            <w:tcW w:w="7200" w:type="dxa"/>
            <w:shd w:val="clear" w:color="auto" w:fill="auto"/>
          </w:tcPr>
          <w:p w14:paraId="08256A71" w14:textId="77777777" w:rsidR="00222304" w:rsidRPr="000F779A" w:rsidRDefault="00BB56C5" w:rsidP="00BB56C5">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§435.917 Notice of agency’s decision concerning eligibility, benefits, or services.</w:t>
            </w:r>
          </w:p>
          <w:p w14:paraId="7BCFAAE2" w14:textId="43D0A113" w:rsidR="00A30343" w:rsidRPr="000F779A" w:rsidRDefault="00A30343" w:rsidP="00A30343">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(a)</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Notice of determinations. </w:t>
            </w:r>
          </w:p>
          <w:p w14:paraId="68DB901E" w14:textId="458AC75A" w:rsidR="00A30343" w:rsidRPr="000F779A" w:rsidRDefault="00A30343" w:rsidP="00A30343">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Content of notice</w:t>
            </w:r>
            <w:r w:rsidRPr="000F779A">
              <w:rPr>
                <w:rFonts w:asciiTheme="minorHAnsi" w:eastAsia="Calibri" w:hAnsiTheme="minorHAnsi" w:cstheme="minorHAnsi"/>
                <w:sz w:val="22"/>
                <w:szCs w:val="22"/>
              </w:rPr>
              <w:t>—</w:t>
            </w:r>
          </w:p>
          <w:p w14:paraId="46791B31" w14:textId="78247D24" w:rsidR="00BB56C5" w:rsidRPr="000F779A" w:rsidRDefault="00C866CF" w:rsidP="00FE04D9">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w:t>
            </w:r>
            <w:r w:rsidR="00A30343" w:rsidRPr="000F779A">
              <w:rPr>
                <w:rFonts w:asciiTheme="minorHAnsi" w:eastAsia="Calibri" w:hAnsiTheme="minorHAnsi" w:cstheme="minorHAnsi"/>
                <w:b/>
                <w:bCs/>
                <w:sz w:val="22"/>
                <w:szCs w:val="22"/>
              </w:rPr>
              <w:t>(2)</w:t>
            </w:r>
            <w:r w:rsidR="00A30343"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i/>
                <w:iCs/>
                <w:sz w:val="22"/>
                <w:szCs w:val="22"/>
              </w:rPr>
              <w:t xml:space="preserve">Notice of adverse action. </w:t>
            </w:r>
            <w:r w:rsidR="00A30343" w:rsidRPr="000F779A">
              <w:rPr>
                <w:rFonts w:asciiTheme="minorHAnsi" w:eastAsia="Calibri" w:hAnsiTheme="minorHAnsi" w:cstheme="minorHAnsi"/>
                <w:sz w:val="22"/>
                <w:szCs w:val="22"/>
              </w:rPr>
              <w:t>Notice of adverse action including denial,</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termination, or suspension of eligibility</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or change in benefits or services. Any</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notice of denial, termination, or</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suspension of Medicaid eligibility, or, in</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the case of beneficiaries receiving</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medical assistance, denial of or change</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in benefits or services must be</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consistent with §431.210 of this</w:t>
            </w:r>
            <w:r w:rsidR="00FE04D9" w:rsidRPr="000F779A">
              <w:rPr>
                <w:rFonts w:asciiTheme="minorHAnsi" w:eastAsia="Calibri" w:hAnsiTheme="minorHAnsi" w:cstheme="minorHAnsi"/>
                <w:sz w:val="22"/>
                <w:szCs w:val="22"/>
              </w:rPr>
              <w:t xml:space="preserve"> </w:t>
            </w:r>
            <w:r w:rsidR="00A30343" w:rsidRPr="000F779A">
              <w:rPr>
                <w:rFonts w:asciiTheme="minorHAnsi" w:eastAsia="Calibri" w:hAnsiTheme="minorHAnsi" w:cstheme="minorHAnsi"/>
                <w:sz w:val="22"/>
                <w:szCs w:val="22"/>
              </w:rPr>
              <w:t>chapter.</w:t>
            </w:r>
          </w:p>
        </w:tc>
        <w:tc>
          <w:tcPr>
            <w:tcW w:w="4320" w:type="dxa"/>
            <w:shd w:val="clear" w:color="auto" w:fill="auto"/>
          </w:tcPr>
          <w:p w14:paraId="521A1885" w14:textId="09DE5274" w:rsidR="00222304" w:rsidRPr="000F779A" w:rsidRDefault="00F43BFB" w:rsidP="00974E67">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The Medicaid notice and fair hearing provisions at 42 CFR 435.917 and 42 CFR part 431, subpart E, which are cross referenced at 42 CFR 440.230(e)(2), apply to applicants and beneficiaries, not providers.</w:t>
            </w:r>
          </w:p>
        </w:tc>
      </w:tr>
    </w:tbl>
    <w:p w14:paraId="4782E157" w14:textId="77777777" w:rsidR="00003DA7" w:rsidRPr="000F779A" w:rsidRDefault="00003DA7">
      <w:pPr>
        <w:rPr>
          <w:rFonts w:asciiTheme="minorHAnsi" w:hAnsiTheme="minorHAnsi" w:cstheme="minorHAnsi"/>
        </w:rPr>
      </w:pPr>
    </w:p>
    <w:tbl>
      <w:tblPr>
        <w:tblW w:w="1383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770"/>
        <w:gridCol w:w="4140"/>
        <w:gridCol w:w="2610"/>
      </w:tblGrid>
      <w:tr w:rsidR="00003DA7" w:rsidRPr="000F779A" w14:paraId="5657E277" w14:textId="77777777" w:rsidTr="00CD6473">
        <w:trPr>
          <w:trHeight w:val="360"/>
          <w:tblHeader/>
        </w:trPr>
        <w:tc>
          <w:tcPr>
            <w:tcW w:w="13837" w:type="dxa"/>
            <w:gridSpan w:val="4"/>
            <w:shd w:val="clear" w:color="auto" w:fill="4472C4" w:themeFill="accent1"/>
            <w:vAlign w:val="center"/>
          </w:tcPr>
          <w:p w14:paraId="78119A43" w14:textId="7F7ECDFB" w:rsidR="00003DA7" w:rsidRPr="000F779A" w:rsidRDefault="00003DA7" w:rsidP="00BF093A">
            <w:pPr>
              <w:jc w:val="center"/>
              <w:rPr>
                <w:rFonts w:asciiTheme="minorHAnsi" w:eastAsia="Calibri" w:hAnsiTheme="minorHAnsi" w:cstheme="minorHAnsi"/>
                <w:b/>
                <w:color w:val="FFFFFF" w:themeColor="background1"/>
                <w:sz w:val="22"/>
                <w:szCs w:val="22"/>
              </w:rPr>
            </w:pPr>
            <w:r w:rsidRPr="000F779A">
              <w:rPr>
                <w:rFonts w:asciiTheme="minorHAnsi" w:eastAsia="Calibri" w:hAnsiTheme="minorHAnsi" w:cstheme="minorHAnsi"/>
                <w:b/>
                <w:color w:val="FFFFFF" w:themeColor="background1"/>
                <w:sz w:val="22"/>
                <w:szCs w:val="22"/>
              </w:rPr>
              <w:t>Changes/</w:t>
            </w:r>
            <w:r w:rsidR="004A4C99" w:rsidRPr="000F779A">
              <w:rPr>
                <w:rFonts w:asciiTheme="minorHAnsi" w:eastAsia="Calibri" w:hAnsiTheme="minorHAnsi" w:cstheme="minorHAnsi"/>
                <w:b/>
                <w:color w:val="FFFFFF" w:themeColor="background1"/>
                <w:sz w:val="22"/>
                <w:szCs w:val="22"/>
              </w:rPr>
              <w:t>Potential Impact</w:t>
            </w:r>
            <w:r w:rsidR="0060426B" w:rsidRPr="000F779A">
              <w:rPr>
                <w:rFonts w:asciiTheme="minorHAnsi" w:eastAsia="Calibri" w:hAnsiTheme="minorHAnsi" w:cstheme="minorHAnsi"/>
                <w:b/>
                <w:color w:val="FFFFFF" w:themeColor="background1"/>
                <w:sz w:val="22"/>
                <w:szCs w:val="22"/>
              </w:rPr>
              <w:t>—As Finalized</w:t>
            </w:r>
          </w:p>
        </w:tc>
      </w:tr>
      <w:tr w:rsidR="00003DA7" w:rsidRPr="000F779A" w14:paraId="515C62EE" w14:textId="77777777" w:rsidTr="00CD6473">
        <w:trPr>
          <w:trHeight w:val="360"/>
          <w:tblHeader/>
        </w:trPr>
        <w:tc>
          <w:tcPr>
            <w:tcW w:w="13837" w:type="dxa"/>
            <w:gridSpan w:val="4"/>
            <w:shd w:val="clear" w:color="auto" w:fill="FFC000" w:themeFill="accent4"/>
            <w:vAlign w:val="center"/>
          </w:tcPr>
          <w:p w14:paraId="0497DF41" w14:textId="6B94337A" w:rsidR="00003DA7" w:rsidRPr="000F779A" w:rsidRDefault="00003DA7" w:rsidP="00BF093A">
            <w:pPr>
              <w:jc w:val="center"/>
              <w:rPr>
                <w:rFonts w:asciiTheme="minorHAnsi" w:eastAsia="Calibri" w:hAnsiTheme="minorHAnsi" w:cstheme="minorHAnsi"/>
                <w:b/>
                <w:color w:val="FFFFFF" w:themeColor="background1"/>
                <w:sz w:val="22"/>
                <w:szCs w:val="22"/>
              </w:rPr>
            </w:pPr>
            <w:r w:rsidRPr="000F779A">
              <w:rPr>
                <w:rFonts w:asciiTheme="minorHAnsi" w:eastAsia="Calibri" w:hAnsiTheme="minorHAnsi" w:cstheme="minorHAnsi"/>
                <w:b/>
                <w:sz w:val="22"/>
                <w:szCs w:val="22"/>
              </w:rPr>
              <w:t xml:space="preserve">Changes Related to </w:t>
            </w:r>
            <w:r w:rsidR="00280E38" w:rsidRPr="000F779A">
              <w:rPr>
                <w:rFonts w:asciiTheme="minorHAnsi" w:eastAsia="Calibri" w:hAnsiTheme="minorHAnsi" w:cstheme="minorHAnsi"/>
                <w:b/>
                <w:sz w:val="22"/>
                <w:szCs w:val="22"/>
              </w:rPr>
              <w:t>Part 438—Managed Care</w:t>
            </w:r>
          </w:p>
        </w:tc>
      </w:tr>
      <w:tr w:rsidR="00003DA7" w:rsidRPr="000F779A" w14:paraId="105C78E0" w14:textId="77777777" w:rsidTr="00CD6473">
        <w:trPr>
          <w:trHeight w:val="360"/>
          <w:tblHeader/>
        </w:trPr>
        <w:tc>
          <w:tcPr>
            <w:tcW w:w="2317" w:type="dxa"/>
            <w:shd w:val="clear" w:color="auto" w:fill="DEEAF6" w:themeFill="accent5" w:themeFillTint="33"/>
            <w:vAlign w:val="center"/>
          </w:tcPr>
          <w:p w14:paraId="604C25A4" w14:textId="39C0A92C" w:rsidR="00003DA7" w:rsidRPr="000F779A" w:rsidRDefault="0060426B" w:rsidP="00BF093A">
            <w:pPr>
              <w:jc w:val="center"/>
              <w:rPr>
                <w:rFonts w:asciiTheme="minorHAnsi" w:eastAsia="Calibri" w:hAnsiTheme="minorHAnsi" w:cstheme="minorHAnsi"/>
                <w:b/>
                <w:sz w:val="22"/>
                <w:szCs w:val="22"/>
              </w:rPr>
            </w:pPr>
            <w:bookmarkStart w:id="5" w:name="_Hlk166833746"/>
            <w:r w:rsidRPr="000F779A">
              <w:rPr>
                <w:rFonts w:asciiTheme="minorHAnsi" w:eastAsia="Calibri" w:hAnsiTheme="minorHAnsi" w:cstheme="minorHAnsi"/>
                <w:b/>
                <w:sz w:val="22"/>
                <w:szCs w:val="22"/>
              </w:rPr>
              <w:t>Change and Applicability</w:t>
            </w:r>
            <w:r w:rsidR="00003DA7" w:rsidRPr="000F779A">
              <w:rPr>
                <w:rFonts w:asciiTheme="minorHAnsi" w:eastAsia="Calibri" w:hAnsiTheme="minorHAnsi" w:cstheme="minorHAnsi"/>
                <w:b/>
                <w:sz w:val="22"/>
                <w:szCs w:val="22"/>
              </w:rPr>
              <w:t xml:space="preserve"> Date</w:t>
            </w:r>
            <w:r w:rsidR="009C4402" w:rsidRPr="000F779A">
              <w:rPr>
                <w:rFonts w:asciiTheme="minorHAnsi" w:eastAsia="Calibri" w:hAnsiTheme="minorHAnsi" w:cstheme="minorHAnsi"/>
                <w:b/>
                <w:sz w:val="22"/>
                <w:szCs w:val="22"/>
              </w:rPr>
              <w:t>s</w:t>
            </w:r>
          </w:p>
        </w:tc>
        <w:tc>
          <w:tcPr>
            <w:tcW w:w="4770" w:type="dxa"/>
            <w:shd w:val="clear" w:color="auto" w:fill="DEEAF6" w:themeFill="accent5" w:themeFillTint="33"/>
            <w:vAlign w:val="center"/>
          </w:tcPr>
          <w:p w14:paraId="644CF4F8" w14:textId="3645A180" w:rsidR="00003DA7" w:rsidRPr="000F779A" w:rsidRDefault="005327AF" w:rsidP="00BF093A">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 xml:space="preserve">Summary of </w:t>
            </w:r>
            <w:r w:rsidR="00793ABD" w:rsidRPr="000F779A">
              <w:rPr>
                <w:rFonts w:asciiTheme="minorHAnsi" w:eastAsia="Calibri" w:hAnsiTheme="minorHAnsi" w:cstheme="minorHAnsi"/>
                <w:b/>
                <w:sz w:val="22"/>
                <w:szCs w:val="22"/>
              </w:rPr>
              <w:t xml:space="preserve">Changes </w:t>
            </w:r>
          </w:p>
        </w:tc>
        <w:tc>
          <w:tcPr>
            <w:tcW w:w="4140" w:type="dxa"/>
            <w:shd w:val="clear" w:color="auto" w:fill="DEEAF6" w:themeFill="accent5" w:themeFillTint="33"/>
            <w:vAlign w:val="center"/>
          </w:tcPr>
          <w:p w14:paraId="775EB99D" w14:textId="4295CB7A" w:rsidR="00003DA7" w:rsidRPr="000F779A" w:rsidRDefault="00280E38" w:rsidP="00BF093A">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CMS Discussion Highlights</w:t>
            </w:r>
          </w:p>
        </w:tc>
        <w:tc>
          <w:tcPr>
            <w:tcW w:w="2610" w:type="dxa"/>
            <w:shd w:val="clear" w:color="auto" w:fill="DEEAF6" w:themeFill="accent5" w:themeFillTint="33"/>
            <w:vAlign w:val="center"/>
          </w:tcPr>
          <w:p w14:paraId="0803AEFB" w14:textId="3F98D910" w:rsidR="00003DA7" w:rsidRPr="000F779A" w:rsidRDefault="00280E38" w:rsidP="00BF093A">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CHIP Cross Reference</w:t>
            </w:r>
          </w:p>
        </w:tc>
      </w:tr>
      <w:bookmarkEnd w:id="5"/>
      <w:tr w:rsidR="00F17D30" w:rsidRPr="000F779A" w14:paraId="2A36D83A" w14:textId="77777777" w:rsidTr="00CD6473">
        <w:tc>
          <w:tcPr>
            <w:tcW w:w="2317" w:type="dxa"/>
            <w:shd w:val="clear" w:color="auto" w:fill="auto"/>
          </w:tcPr>
          <w:p w14:paraId="5766559C" w14:textId="4A98DD8F" w:rsidR="00F17D30" w:rsidRPr="000F779A" w:rsidRDefault="00F17D30" w:rsidP="00FF6A10">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t>Amend §438.9 by—</w:t>
            </w:r>
            <w:r w:rsidRPr="000F779A">
              <w:rPr>
                <w:rFonts w:asciiTheme="minorHAnsi" w:eastAsia="Calibri" w:hAnsiTheme="minorHAnsi" w:cstheme="minorHAnsi"/>
                <w:sz w:val="22"/>
                <w:szCs w:val="22"/>
              </w:rPr>
              <w:t xml:space="preserve"> </w:t>
            </w:r>
          </w:p>
          <w:p w14:paraId="2EF78436" w14:textId="77777777" w:rsidR="00F17D30" w:rsidRPr="000F779A" w:rsidRDefault="00F17D30" w:rsidP="003D5D38">
            <w:pPr>
              <w:pStyle w:val="ListParagraph"/>
              <w:numPr>
                <w:ilvl w:val="0"/>
                <w:numId w:val="22"/>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 (b)(7).</w:t>
            </w:r>
          </w:p>
          <w:p w14:paraId="5127CBD9" w14:textId="77777777" w:rsidR="00EF058D" w:rsidRPr="000F779A" w:rsidRDefault="00EF058D" w:rsidP="00EF058D">
            <w:pPr>
              <w:spacing w:before="40" w:after="40"/>
              <w:rPr>
                <w:rFonts w:asciiTheme="minorHAnsi" w:eastAsia="Calibri" w:hAnsiTheme="minorHAnsi" w:cstheme="minorHAnsi"/>
                <w:sz w:val="22"/>
                <w:szCs w:val="22"/>
              </w:rPr>
            </w:pPr>
          </w:p>
          <w:p w14:paraId="5A90739C" w14:textId="77777777" w:rsidR="00EF058D" w:rsidRPr="000F779A" w:rsidRDefault="00EF058D" w:rsidP="00EF058D">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62365FCB" w14:textId="7E27479D" w:rsidR="00EF058D" w:rsidRPr="000F779A" w:rsidRDefault="00EF058D" w:rsidP="00EF058D">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January 1, 2027.</w:t>
            </w:r>
          </w:p>
        </w:tc>
        <w:tc>
          <w:tcPr>
            <w:tcW w:w="4770" w:type="dxa"/>
            <w:shd w:val="clear" w:color="auto" w:fill="auto"/>
          </w:tcPr>
          <w:p w14:paraId="5B05E0DC" w14:textId="7BDD80FE" w:rsidR="00F17D30" w:rsidRPr="000F779A" w:rsidRDefault="00F17D30" w:rsidP="00A40738">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t>§438.9(b)(7)</w:t>
            </w:r>
            <w:r w:rsidRPr="000F779A">
              <w:rPr>
                <w:rFonts w:asciiTheme="minorHAnsi" w:eastAsia="Calibri" w:hAnsiTheme="minorHAnsi" w:cstheme="minorHAnsi"/>
                <w:sz w:val="22"/>
                <w:szCs w:val="22"/>
              </w:rPr>
              <w:t xml:space="preserve"> The PAHP standards in §438.206(b)(1), §438.210, §438.214, §438.224, §438.230, and §438.242, excluding the requirement in §438.242(b)(7), to comply with §431.61(a) and (b) of this chapter.</w:t>
            </w:r>
          </w:p>
        </w:tc>
        <w:tc>
          <w:tcPr>
            <w:tcW w:w="4140" w:type="dxa"/>
            <w:shd w:val="clear" w:color="auto" w:fill="auto"/>
          </w:tcPr>
          <w:p w14:paraId="0B904A44" w14:textId="3C76EE71" w:rsidR="00F17D30" w:rsidRPr="000F779A" w:rsidRDefault="00502723" w:rsidP="00280E38">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PA</w:t>
            </w:r>
            <w:r w:rsidR="004549B8" w:rsidRPr="000F779A">
              <w:rPr>
                <w:rFonts w:asciiTheme="minorHAnsi" w:eastAsia="Calibri" w:hAnsiTheme="minorHAnsi" w:cstheme="minorHAnsi"/>
                <w:sz w:val="22"/>
                <w:szCs w:val="22"/>
              </w:rPr>
              <w:t>HPs are required to comply with this rule (except</w:t>
            </w:r>
            <w:r w:rsidR="007E32FA" w:rsidRPr="000F779A">
              <w:rPr>
                <w:rFonts w:asciiTheme="minorHAnsi" w:eastAsia="Calibri" w:hAnsiTheme="minorHAnsi" w:cstheme="minorHAnsi"/>
                <w:sz w:val="22"/>
                <w:szCs w:val="22"/>
              </w:rPr>
              <w:t xml:space="preserve"> FFS</w:t>
            </w:r>
            <w:r w:rsidR="004549B8" w:rsidRPr="000F779A">
              <w:rPr>
                <w:rFonts w:asciiTheme="minorHAnsi" w:eastAsia="Calibri" w:hAnsiTheme="minorHAnsi" w:cstheme="minorHAnsi"/>
                <w:sz w:val="22"/>
                <w:szCs w:val="22"/>
              </w:rPr>
              <w:t xml:space="preserve"> NEMT PAHPs</w:t>
            </w:r>
            <w:r w:rsidR="00FF78D1" w:rsidRPr="000F779A">
              <w:rPr>
                <w:rFonts w:asciiTheme="minorHAnsi" w:eastAsia="Calibri" w:hAnsiTheme="minorHAnsi" w:cstheme="minorHAnsi"/>
                <w:sz w:val="22"/>
                <w:szCs w:val="22"/>
              </w:rPr>
              <w:t>).</w:t>
            </w:r>
          </w:p>
        </w:tc>
        <w:tc>
          <w:tcPr>
            <w:tcW w:w="2610" w:type="dxa"/>
            <w:vMerge w:val="restart"/>
            <w:shd w:val="clear" w:color="auto" w:fill="auto"/>
          </w:tcPr>
          <w:p w14:paraId="7203B131" w14:textId="77777777" w:rsidR="00F17D30" w:rsidRPr="000F779A" w:rsidRDefault="00F831DF" w:rsidP="002F3DFF">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The policies in the CMS</w:t>
            </w:r>
            <w:r w:rsidR="0027122C"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Interoperability and Patient Access final</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rule (85 FR 25559) are applicable to</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separate CHIP managed care entities per</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42 CFR 457.1233(d) through a</w:t>
            </w:r>
            <w:r w:rsidR="00974E67"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cross</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reference to </w:t>
            </w:r>
            <w:r w:rsidRPr="000F779A">
              <w:rPr>
                <w:rFonts w:asciiTheme="minorHAnsi" w:eastAsia="Calibri" w:hAnsiTheme="minorHAnsi" w:cstheme="minorHAnsi"/>
                <w:sz w:val="22"/>
                <w:szCs w:val="22"/>
              </w:rPr>
              <w:lastRenderedPageBreak/>
              <w:t>Medicaid managed care at</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42 CFR 438.242. We apply the API</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requirements in this final rule to</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separate CHIP managed care entities</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through the existing cross reference at</w:t>
            </w:r>
            <w:r w:rsidR="00542C90"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42 CFR 457.1233(d) to Medicaid</w:t>
            </w:r>
            <w:r w:rsidR="002F3D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managed care at 42 CFR 438.242.</w:t>
            </w:r>
          </w:p>
          <w:p w14:paraId="400917AB" w14:textId="77777777" w:rsidR="005D2E5F" w:rsidRPr="000F779A" w:rsidRDefault="005D2E5F" w:rsidP="002F3DFF">
            <w:pPr>
              <w:spacing w:before="40" w:after="40"/>
              <w:rPr>
                <w:rFonts w:asciiTheme="minorHAnsi" w:eastAsia="Calibri" w:hAnsiTheme="minorHAnsi" w:cstheme="minorHAnsi"/>
                <w:sz w:val="22"/>
                <w:szCs w:val="22"/>
              </w:rPr>
            </w:pPr>
          </w:p>
          <w:p w14:paraId="238F0CAE" w14:textId="3B9B09A9" w:rsidR="00A02A50" w:rsidRPr="000F779A" w:rsidRDefault="00A02A50" w:rsidP="00A02A50">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The proposed rule that the proposal to amend 42 CFR 438.210(d) for timeframes would also apply to standard and expedited decisions made by CHIP managed care entities because of the cross reference to 42 CFR 438.210 in current 42 CFR 457.1230(d). </w:t>
            </w:r>
          </w:p>
          <w:p w14:paraId="397DCD39" w14:textId="3FB44519" w:rsidR="005D2E5F" w:rsidRPr="000F779A" w:rsidRDefault="005D2E5F" w:rsidP="00A02A50">
            <w:pPr>
              <w:spacing w:before="40" w:after="40"/>
              <w:rPr>
                <w:rFonts w:asciiTheme="minorHAnsi" w:eastAsia="Calibri" w:hAnsiTheme="minorHAnsi" w:cstheme="minorHAnsi"/>
                <w:sz w:val="22"/>
                <w:szCs w:val="22"/>
              </w:rPr>
            </w:pPr>
          </w:p>
        </w:tc>
      </w:tr>
      <w:tr w:rsidR="00F17D30" w:rsidRPr="000F779A" w14:paraId="4D1ED5EF" w14:textId="77777777" w:rsidTr="00CD6473">
        <w:tc>
          <w:tcPr>
            <w:tcW w:w="2317" w:type="dxa"/>
            <w:shd w:val="clear" w:color="auto" w:fill="auto"/>
          </w:tcPr>
          <w:p w14:paraId="5B14FD83" w14:textId="4E67F9F5" w:rsidR="00F17D30" w:rsidRPr="000F779A" w:rsidRDefault="00F17D30" w:rsidP="00C20DC9">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 xml:space="preserve">Amend §438.62 by— </w:t>
            </w:r>
          </w:p>
          <w:p w14:paraId="7DF5FBAF" w14:textId="77777777" w:rsidR="00F17D30" w:rsidRPr="000F779A" w:rsidRDefault="00F17D30" w:rsidP="00BD4944">
            <w:pPr>
              <w:pStyle w:val="ListParagraph"/>
              <w:numPr>
                <w:ilvl w:val="0"/>
                <w:numId w:val="22"/>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Removing paragraphs (b)(1)(vi) and (vii).</w:t>
            </w:r>
          </w:p>
          <w:p w14:paraId="32506F39" w14:textId="77777777" w:rsidR="00541D78" w:rsidRPr="000F779A" w:rsidRDefault="00541D78" w:rsidP="00541D78">
            <w:pPr>
              <w:spacing w:before="40" w:after="40"/>
              <w:rPr>
                <w:rFonts w:asciiTheme="minorHAnsi" w:eastAsia="Calibri" w:hAnsiTheme="minorHAnsi" w:cstheme="minorHAnsi"/>
                <w:sz w:val="22"/>
                <w:szCs w:val="22"/>
              </w:rPr>
            </w:pPr>
          </w:p>
          <w:p w14:paraId="65F0D185" w14:textId="77777777" w:rsidR="004423B2" w:rsidRPr="000F779A" w:rsidRDefault="004423B2" w:rsidP="004423B2">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3DA72A33" w14:textId="62A2C916" w:rsidR="00541D78" w:rsidRPr="000F779A" w:rsidRDefault="004423B2" w:rsidP="004423B2">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January 1, 2027.</w:t>
            </w:r>
          </w:p>
        </w:tc>
        <w:tc>
          <w:tcPr>
            <w:tcW w:w="4770" w:type="dxa"/>
            <w:shd w:val="clear" w:color="auto" w:fill="auto"/>
          </w:tcPr>
          <w:p w14:paraId="510ABD98" w14:textId="7BAA9485" w:rsidR="00F17D30" w:rsidRPr="000F779A" w:rsidRDefault="00F17D30" w:rsidP="00A40738">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§438.62</w:t>
            </w:r>
          </w:p>
        </w:tc>
        <w:tc>
          <w:tcPr>
            <w:tcW w:w="4140" w:type="dxa"/>
            <w:shd w:val="clear" w:color="auto" w:fill="auto"/>
          </w:tcPr>
          <w:p w14:paraId="24184C9B" w14:textId="2A48A364" w:rsidR="00F17D30" w:rsidRPr="000F779A" w:rsidRDefault="00CB23C8" w:rsidP="00CB23C8">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Given the concerns raised by stakeholders regarding the lack of technical specification in our previously finalized policy, we are </w:t>
            </w:r>
            <w:r w:rsidRPr="000F779A">
              <w:rPr>
                <w:rFonts w:asciiTheme="minorHAnsi" w:eastAsia="Calibri" w:hAnsiTheme="minorHAnsi" w:cstheme="minorHAnsi"/>
                <w:sz w:val="22"/>
                <w:szCs w:val="22"/>
              </w:rPr>
              <w:lastRenderedPageBreak/>
              <w:t xml:space="preserve">finalizing the proposal to rescind the payer to payer data exchange policy finalized in the CMS Interoperability and Patient Access rule (85 FR 25568) at 42 CFR 422.119(f)(1) and 438.62(b)(1)(vi) and (vii) and 45 CFR 156.221(f)(1). We did so to prevent industry from developing multiple systems, and to help payers avoid the </w:t>
            </w:r>
            <w:r w:rsidR="007B63FF" w:rsidRPr="000F779A">
              <w:rPr>
                <w:rFonts w:asciiTheme="minorHAnsi" w:eastAsia="Calibri" w:hAnsiTheme="minorHAnsi" w:cstheme="minorHAnsi"/>
                <w:sz w:val="22"/>
                <w:szCs w:val="22"/>
              </w:rPr>
              <w:t>c</w:t>
            </w:r>
            <w:r w:rsidRPr="000F779A">
              <w:rPr>
                <w:rFonts w:asciiTheme="minorHAnsi" w:eastAsia="Calibri" w:hAnsiTheme="minorHAnsi" w:cstheme="minorHAnsi"/>
                <w:sz w:val="22"/>
                <w:szCs w:val="22"/>
              </w:rPr>
              <w:t>osts of developing non-standardized,</w:t>
            </w:r>
            <w:r w:rsidR="007B63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non-API systems, and the challenges</w:t>
            </w:r>
            <w:r w:rsidR="007B63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associated with those systems. We</w:t>
            </w:r>
            <w:r w:rsidR="007B63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proposed </w:t>
            </w:r>
            <w:r w:rsidR="007B63FF" w:rsidRPr="000F779A">
              <w:rPr>
                <w:rFonts w:asciiTheme="minorHAnsi" w:eastAsia="Calibri" w:hAnsiTheme="minorHAnsi" w:cstheme="minorHAnsi"/>
                <w:sz w:val="22"/>
                <w:szCs w:val="22"/>
              </w:rPr>
              <w:t xml:space="preserve">(and a finalizing) </w:t>
            </w:r>
            <w:r w:rsidRPr="000F779A">
              <w:rPr>
                <w:rFonts w:asciiTheme="minorHAnsi" w:eastAsia="Calibri" w:hAnsiTheme="minorHAnsi" w:cstheme="minorHAnsi"/>
                <w:sz w:val="22"/>
                <w:szCs w:val="22"/>
              </w:rPr>
              <w:t>a new policy that would,</w:t>
            </w:r>
            <w:r w:rsidR="007B63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instead, require impacted payers to</w:t>
            </w:r>
            <w:r w:rsidR="007B63F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implement and maintain a Payer-to-Payer API using the FHIR standard. We</w:t>
            </w:r>
            <w:r w:rsidR="00C0220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stated that using FHIR APIs would</w:t>
            </w:r>
            <w:r w:rsidR="00C0220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ensure greater uniformity and ultimately</w:t>
            </w:r>
            <w:r w:rsidR="00C0220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lead to payers having more complete</w:t>
            </w:r>
            <w:r w:rsidR="00C0220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information available to share with</w:t>
            </w:r>
            <w:r w:rsidR="00C0220F"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patients and providers.</w:t>
            </w:r>
          </w:p>
        </w:tc>
        <w:tc>
          <w:tcPr>
            <w:tcW w:w="2610" w:type="dxa"/>
            <w:vMerge/>
            <w:shd w:val="clear" w:color="auto" w:fill="auto"/>
          </w:tcPr>
          <w:p w14:paraId="533FAEB9" w14:textId="77777777" w:rsidR="00F17D30" w:rsidRPr="000F779A" w:rsidRDefault="00F17D30" w:rsidP="00280E38">
            <w:pPr>
              <w:spacing w:before="40" w:after="40"/>
              <w:rPr>
                <w:rFonts w:asciiTheme="minorHAnsi" w:eastAsia="Calibri" w:hAnsiTheme="minorHAnsi" w:cstheme="minorHAnsi"/>
                <w:sz w:val="22"/>
                <w:szCs w:val="22"/>
              </w:rPr>
            </w:pPr>
          </w:p>
        </w:tc>
      </w:tr>
      <w:tr w:rsidR="00F17D30" w:rsidRPr="000F779A" w14:paraId="2F4231EF" w14:textId="77777777" w:rsidTr="00CD6473">
        <w:tc>
          <w:tcPr>
            <w:tcW w:w="2317" w:type="dxa"/>
            <w:shd w:val="clear" w:color="auto" w:fill="auto"/>
          </w:tcPr>
          <w:p w14:paraId="725B8303" w14:textId="4639626F" w:rsidR="00F17D30" w:rsidRPr="000F779A" w:rsidRDefault="00F17D30" w:rsidP="00E14117">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Amend §438.210 by—</w:t>
            </w:r>
          </w:p>
          <w:p w14:paraId="03C33AD3" w14:textId="47BF2AF8" w:rsidR="00F17D30" w:rsidRPr="000F779A" w:rsidRDefault="00F17D30" w:rsidP="00E14117">
            <w:pPr>
              <w:numPr>
                <w:ilvl w:val="0"/>
                <w:numId w:val="22"/>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paragraphs (d)(1) and (d)(2)(i).</w:t>
            </w:r>
          </w:p>
          <w:p w14:paraId="0BE21EAE" w14:textId="77777777" w:rsidR="00F17D30" w:rsidRPr="000F779A" w:rsidRDefault="00F17D30" w:rsidP="00E14117">
            <w:pPr>
              <w:numPr>
                <w:ilvl w:val="0"/>
                <w:numId w:val="22"/>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Redesignating paragraph (f) as paragraph (g).</w:t>
            </w:r>
          </w:p>
          <w:p w14:paraId="41812AAE" w14:textId="77777777" w:rsidR="00F17D30" w:rsidRPr="000F779A" w:rsidRDefault="00F17D30" w:rsidP="00E14117">
            <w:pPr>
              <w:numPr>
                <w:ilvl w:val="0"/>
                <w:numId w:val="22"/>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Adding new paragraph (f).</w:t>
            </w:r>
          </w:p>
          <w:p w14:paraId="61C6C0A2" w14:textId="77777777" w:rsidR="00707C25" w:rsidRPr="000F779A" w:rsidRDefault="00707C25" w:rsidP="00707C25">
            <w:pPr>
              <w:spacing w:before="40" w:after="40"/>
              <w:rPr>
                <w:rFonts w:asciiTheme="minorHAnsi" w:eastAsia="Calibri" w:hAnsiTheme="minorHAnsi" w:cstheme="minorHAnsi"/>
                <w:sz w:val="22"/>
                <w:szCs w:val="22"/>
              </w:rPr>
            </w:pPr>
          </w:p>
          <w:p w14:paraId="5676C1D7" w14:textId="77777777" w:rsidR="00707C25" w:rsidRPr="000F779A" w:rsidRDefault="00224A2F" w:rsidP="00707C25">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2AA7D3C2" w14:textId="633A56D3" w:rsidR="00224A2F" w:rsidRPr="000F779A" w:rsidRDefault="00224A2F" w:rsidP="00707C25">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January 1, 2026</w:t>
            </w:r>
          </w:p>
        </w:tc>
        <w:tc>
          <w:tcPr>
            <w:tcW w:w="4770" w:type="dxa"/>
            <w:shd w:val="clear" w:color="auto" w:fill="auto"/>
          </w:tcPr>
          <w:p w14:paraId="168FA7EB" w14:textId="77777777" w:rsidR="00F17D30" w:rsidRPr="000F779A" w:rsidRDefault="00F17D30" w:rsidP="00424EE1">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§438.210 Coverage and authorization of services.</w:t>
            </w:r>
          </w:p>
          <w:p w14:paraId="7C17403A" w14:textId="6A1F60AE" w:rsidR="00F17D30" w:rsidRPr="000F779A" w:rsidRDefault="00F17D30" w:rsidP="006720C5">
            <w:pPr>
              <w:spacing w:before="40" w:after="40"/>
              <w:rPr>
                <w:rFonts w:asciiTheme="minorHAnsi" w:eastAsia="Calibri" w:hAnsiTheme="minorHAnsi" w:cstheme="minorHAnsi"/>
                <w:i/>
                <w:iCs/>
                <w:sz w:val="22"/>
                <w:szCs w:val="22"/>
              </w:rPr>
            </w:pPr>
            <w:r w:rsidRPr="000F779A">
              <w:rPr>
                <w:rFonts w:asciiTheme="minorHAnsi" w:eastAsia="Calibri" w:hAnsiTheme="minorHAnsi" w:cstheme="minorHAnsi"/>
                <w:b/>
                <w:bCs/>
                <w:sz w:val="22"/>
                <w:szCs w:val="22"/>
              </w:rPr>
              <w:t>(d)(1)</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Standard authorization decisions.</w:t>
            </w:r>
          </w:p>
          <w:p w14:paraId="2D18275A" w14:textId="03A6A2B7" w:rsidR="00F17D30" w:rsidRPr="000F779A" w:rsidRDefault="00F17D30" w:rsidP="00A70865">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For standard authorization decisions, provide notice as expeditiously as the enrollee’s condition requires and:</w:t>
            </w:r>
          </w:p>
          <w:p w14:paraId="3C27372B" w14:textId="13A420B2" w:rsidR="00F17D30" w:rsidRPr="000F779A" w:rsidRDefault="00F17D30" w:rsidP="001D473B">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For rating periods that start before January 1, 2026, within state established time frames </w:t>
            </w:r>
            <w:r w:rsidRPr="000F779A">
              <w:rPr>
                <w:rFonts w:asciiTheme="minorHAnsi" w:eastAsia="Calibri" w:hAnsiTheme="minorHAnsi" w:cstheme="minorHAnsi"/>
                <w:sz w:val="22"/>
                <w:szCs w:val="22"/>
              </w:rPr>
              <w:lastRenderedPageBreak/>
              <w:t>that may not exceed 14 calendar days after receiving the request for service.</w:t>
            </w:r>
          </w:p>
          <w:p w14:paraId="22250BDC" w14:textId="77777777" w:rsidR="00F17D30" w:rsidRPr="000F779A" w:rsidRDefault="00F17D30" w:rsidP="001D473B">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 For rating periods that start on or after January 1, 2026, within state established time frames that may not exceed 7 calendar days after receiving the request for service. </w:t>
            </w:r>
          </w:p>
          <w:p w14:paraId="5AFEA7E6" w14:textId="657460B7" w:rsidR="00F17D30" w:rsidRPr="000F779A" w:rsidRDefault="00F17D30" w:rsidP="002272EE">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Standard authorization decisions may have an extension to the timeframes in paragraph (d)(1)(i) of this section up to 14 additional calendar days if—</w:t>
            </w:r>
          </w:p>
          <w:p w14:paraId="6C9DE009" w14:textId="77777777" w:rsidR="00F17D30" w:rsidRPr="000F779A" w:rsidRDefault="00F17D30" w:rsidP="002272EE">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(A) The enrollee or the provider requests the extension; or </w:t>
            </w:r>
          </w:p>
          <w:p w14:paraId="38047B1F" w14:textId="7EC9B8FD" w:rsidR="00F17D30" w:rsidRPr="000F779A" w:rsidRDefault="00F17D30" w:rsidP="002272EE">
            <w:pPr>
              <w:spacing w:before="40" w:after="40"/>
              <w:ind w:left="36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(B) The MCO, PIHP, or PAHP justifies (to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agency upon request) a need for additional information and how the extension is in the enrollee’s interest.</w:t>
            </w:r>
          </w:p>
          <w:p w14:paraId="6812100A" w14:textId="22F2C209" w:rsidR="00F17D30" w:rsidRPr="000F779A" w:rsidRDefault="00F17D30" w:rsidP="006720C5">
            <w:pPr>
              <w:spacing w:before="40" w:after="40"/>
              <w:rPr>
                <w:rFonts w:asciiTheme="minorHAnsi" w:eastAsia="Calibri" w:hAnsiTheme="minorHAnsi" w:cstheme="minorHAnsi"/>
                <w:b/>
                <w:bCs/>
                <w:sz w:val="22"/>
                <w:szCs w:val="22"/>
              </w:rPr>
            </w:pPr>
            <w:r w:rsidRPr="000F779A">
              <w:rPr>
                <w:rFonts w:asciiTheme="minorHAnsi" w:eastAsia="Calibri" w:hAnsiTheme="minorHAnsi" w:cstheme="minorHAnsi"/>
                <w:b/>
                <w:bCs/>
                <w:sz w:val="22"/>
                <w:szCs w:val="22"/>
              </w:rPr>
              <w:t xml:space="preserve">(d)(2) </w:t>
            </w:r>
          </w:p>
          <w:p w14:paraId="30354138" w14:textId="6A90C340" w:rsidR="00F17D30" w:rsidRPr="000F779A" w:rsidRDefault="00F17D30" w:rsidP="008306EF">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For cases in which a provider indicates, or the MCO, PIHP, or PAHP determines, that following the standard timeframe could seriously jeopardize the enrollee’s life or health or ability to attain, maintain, or regain maximum function, the MCO, PIHP, or PAHP must make an expedited authorization decision and provide notice as expeditiously as the enrollee’s health condition requires and no later than 72 hours after receipt of the request for service.</w:t>
            </w:r>
          </w:p>
          <w:p w14:paraId="0BA7E4AE" w14:textId="4C71851D" w:rsidR="00F17D30" w:rsidRPr="000F779A" w:rsidRDefault="00F17D30" w:rsidP="006720C5">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lastRenderedPageBreak/>
              <w:t>(f)</w:t>
            </w:r>
            <w:r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i/>
                <w:iCs/>
                <w:sz w:val="22"/>
                <w:szCs w:val="22"/>
              </w:rPr>
              <w:t xml:space="preserve">Publicly reporting prior authorization metrics. </w:t>
            </w:r>
            <w:r w:rsidRPr="000F779A">
              <w:rPr>
                <w:rFonts w:asciiTheme="minorHAnsi" w:eastAsia="Calibri" w:hAnsiTheme="minorHAnsi" w:cstheme="minorHAnsi"/>
                <w:sz w:val="22"/>
                <w:szCs w:val="22"/>
              </w:rPr>
              <w:t xml:space="preserve">Beginning January 1, 2026, following each calendar year it has a contract with a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Medicaid agency, the MCO, PIHP, or PAHP must report prior authorization data, excluding data on any and all drugs covered by the MCO, PIHP, or PAHP, at the plan level by March 31. The MCO, PIHP, or PAHP must make the following data from the previous calendar year publicly accessible by posting them on its website: </w:t>
            </w:r>
          </w:p>
          <w:p w14:paraId="0BC20411" w14:textId="575B1DFD" w:rsidR="00F17D30" w:rsidRPr="000F779A" w:rsidRDefault="00F17D30" w:rsidP="000D737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(1) A list of all items and services that require prior authorization.</w:t>
            </w:r>
          </w:p>
          <w:p w14:paraId="2FB4D570" w14:textId="4E9F6F93" w:rsidR="00F17D30" w:rsidRPr="000F779A" w:rsidRDefault="00F17D30" w:rsidP="000D737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(2) The percentage of standard prior authorization requests that were approved, aggregated for all items and services.</w:t>
            </w:r>
          </w:p>
          <w:p w14:paraId="3E60770B" w14:textId="55847C27" w:rsidR="00F17D30" w:rsidRPr="000F779A" w:rsidRDefault="00F17D30" w:rsidP="000D737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(3) The percentage of standard prior authorization requests that were denied, aggregated for all items and services.</w:t>
            </w:r>
          </w:p>
          <w:p w14:paraId="168C5D0A" w14:textId="2C4A9DB5" w:rsidR="00F17D30" w:rsidRPr="000F779A" w:rsidRDefault="00F17D30" w:rsidP="002B05A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(4) The percentage of standard prior authorization requests that were approved after appeal, aggregated for all items and services.</w:t>
            </w:r>
          </w:p>
          <w:p w14:paraId="2CE9A223" w14:textId="7BFEE087" w:rsidR="00F17D30" w:rsidRPr="000F779A" w:rsidRDefault="00F17D30" w:rsidP="002B05A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(5) The percentage of prior authorization requests for which the timeframe for review was extended, and the request was approved, aggregated for all items and services.</w:t>
            </w:r>
          </w:p>
          <w:p w14:paraId="0BBFC572" w14:textId="4CB18EDA" w:rsidR="00F17D30" w:rsidRPr="000F779A" w:rsidRDefault="00F17D30" w:rsidP="002B05A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(6) The percentage of expedited prior authorization requests that were approved, aggregated for all items and services.</w:t>
            </w:r>
          </w:p>
          <w:p w14:paraId="125218F1" w14:textId="2C35DC22" w:rsidR="00F17D30" w:rsidRPr="000F779A" w:rsidRDefault="00F17D30" w:rsidP="002B05A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(7) The percentage of expedited prior authorization requests that were denied, aggregated for all items and services.</w:t>
            </w:r>
          </w:p>
          <w:p w14:paraId="10C3FCE7" w14:textId="76FA0EE8" w:rsidR="00F17D30" w:rsidRPr="000F779A" w:rsidRDefault="00F17D30" w:rsidP="002B05A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(8) The average and median time that elapsed between the submission of a request and a determination by the MCO, PIHP or PAHP, for standard prior authorizations, aggregated for all items and services.</w:t>
            </w:r>
          </w:p>
          <w:p w14:paraId="037374E6" w14:textId="19734E87" w:rsidR="00F17D30" w:rsidRPr="000F779A" w:rsidRDefault="00F17D30" w:rsidP="002B05AB">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(9) The average and median time that elapsed between the submission of a request and a decision by the MCO, PIHP or PAHP, for expedited prior authorizations, aggregated for all items and services.</w:t>
            </w:r>
          </w:p>
        </w:tc>
        <w:tc>
          <w:tcPr>
            <w:tcW w:w="4140" w:type="dxa"/>
            <w:shd w:val="clear" w:color="auto" w:fill="auto"/>
          </w:tcPr>
          <w:p w14:paraId="7F58509A" w14:textId="363C9AB3" w:rsidR="00F17D30" w:rsidRPr="000F779A" w:rsidRDefault="0068420E" w:rsidP="00C35DAA">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 xml:space="preserve">Our proposal would not change the current provisions for how failure to issue a decision within the required timeframe constitutes an adverse benefit determination that can be appealed under 42 CFR 438.404(c)(5). The regulations at 42 CFR 438.404 and other regulations governing appeal rights at 42 CFR part 438, subpart F, would continue to apply and we </w:t>
            </w:r>
            <w:r w:rsidRPr="000F779A">
              <w:rPr>
                <w:rFonts w:asciiTheme="minorHAnsi" w:eastAsia="Calibri" w:hAnsiTheme="minorHAnsi" w:cstheme="minorHAnsi"/>
                <w:sz w:val="22"/>
                <w:szCs w:val="22"/>
              </w:rPr>
              <w:lastRenderedPageBreak/>
              <w:t xml:space="preserve">did not propose to amend those regulations. We note that 42 CFR 438.404(c)(3) through (6) provide that certain adverse benefit determinations must be issued on the timing specified at 42 CFR 422.210(d); the new timeframes proposed (and finalized) in this rulemaking will apply to those specific adverse benefit determinations. In addition, under current regulations at 42 CFR 438.3(s)(1) and (6) and 438.210(d)(3), </w:t>
            </w:r>
            <w:r w:rsidR="00267B1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Medicaid</w:t>
            </w:r>
            <w:r w:rsidR="00267B1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managed care plans must also comply</w:t>
            </w:r>
            <w:r w:rsidR="00267B1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with the requirements regarding coverage and prior</w:t>
            </w:r>
            <w:r w:rsidR="00267B1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of covered outpatient</w:t>
            </w:r>
            <w:r w:rsidR="00267B1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drugs; nothing in this rulemaking would</w:t>
            </w:r>
            <w:r w:rsidR="00267B1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change these requirements. Finally,</w:t>
            </w:r>
            <w:r w:rsidR="00C35DA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because some Medicaid MCOs are</w:t>
            </w:r>
            <w:r w:rsidR="00C35DA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applicable integrated plans as defined at</w:t>
            </w:r>
            <w:r w:rsidR="00C35DA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42 CFR 438.2, our proposal related to 42</w:t>
            </w:r>
            <w:r w:rsidR="00C35DAA"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CFR 422.631(d) applied to those plans.</w:t>
            </w:r>
          </w:p>
        </w:tc>
        <w:tc>
          <w:tcPr>
            <w:tcW w:w="2610" w:type="dxa"/>
            <w:vMerge/>
            <w:shd w:val="clear" w:color="auto" w:fill="auto"/>
          </w:tcPr>
          <w:p w14:paraId="7A1914DC" w14:textId="77777777" w:rsidR="00F17D30" w:rsidRPr="000F779A" w:rsidRDefault="00F17D30" w:rsidP="00280E38">
            <w:pPr>
              <w:spacing w:before="40" w:after="40"/>
              <w:rPr>
                <w:rFonts w:asciiTheme="minorHAnsi" w:eastAsia="Calibri" w:hAnsiTheme="minorHAnsi" w:cstheme="minorHAnsi"/>
                <w:sz w:val="22"/>
                <w:szCs w:val="22"/>
              </w:rPr>
            </w:pPr>
          </w:p>
        </w:tc>
      </w:tr>
      <w:tr w:rsidR="00F17D30" w:rsidRPr="000F779A" w14:paraId="5650E340" w14:textId="77777777" w:rsidTr="00CD6473">
        <w:tc>
          <w:tcPr>
            <w:tcW w:w="2317" w:type="dxa"/>
            <w:shd w:val="clear" w:color="auto" w:fill="auto"/>
          </w:tcPr>
          <w:p w14:paraId="06E7D9A6" w14:textId="594CBF2D" w:rsidR="00F17D30" w:rsidRPr="000F779A" w:rsidRDefault="00F17D30" w:rsidP="00853547">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lastRenderedPageBreak/>
              <w:t>Amend §438.242 by—</w:t>
            </w:r>
          </w:p>
          <w:p w14:paraId="3C2AA78D" w14:textId="77777777" w:rsidR="00F17D30" w:rsidRPr="000F779A" w:rsidRDefault="00F17D30" w:rsidP="004B21D8">
            <w:pPr>
              <w:pStyle w:val="ListParagraph"/>
              <w:numPr>
                <w:ilvl w:val="0"/>
                <w:numId w:val="23"/>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Revising paragraph (b)(5).</w:t>
            </w:r>
          </w:p>
          <w:p w14:paraId="55AF4C0E" w14:textId="77777777" w:rsidR="00F17D30" w:rsidRPr="000F779A" w:rsidRDefault="00F17D30" w:rsidP="003F3FAD">
            <w:pPr>
              <w:pStyle w:val="ListParagraph"/>
              <w:numPr>
                <w:ilvl w:val="0"/>
                <w:numId w:val="23"/>
              </w:num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Adding paragraphs (b)(7) through (9).</w:t>
            </w:r>
          </w:p>
          <w:p w14:paraId="0F888663" w14:textId="77777777" w:rsidR="00512F13" w:rsidRPr="000F779A" w:rsidRDefault="00512F13" w:rsidP="00512F13">
            <w:pPr>
              <w:spacing w:before="40" w:after="40"/>
              <w:rPr>
                <w:rFonts w:asciiTheme="minorHAnsi" w:eastAsia="Calibri" w:hAnsiTheme="minorHAnsi" w:cstheme="minorHAnsi"/>
                <w:sz w:val="22"/>
                <w:szCs w:val="22"/>
              </w:rPr>
            </w:pPr>
          </w:p>
          <w:p w14:paraId="1C8DF6EF" w14:textId="77777777" w:rsidR="00512F13" w:rsidRPr="000F779A" w:rsidRDefault="00512F13" w:rsidP="00512F13">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4E14DFB3" w14:textId="15F6B2BE" w:rsidR="00512F13" w:rsidRPr="000F779A" w:rsidRDefault="00512F13" w:rsidP="00512F13">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January 1, 2027.</w:t>
            </w:r>
          </w:p>
        </w:tc>
        <w:tc>
          <w:tcPr>
            <w:tcW w:w="4770" w:type="dxa"/>
            <w:tcBorders>
              <w:bottom w:val="single" w:sz="4" w:space="0" w:color="595959"/>
            </w:tcBorders>
            <w:shd w:val="clear" w:color="auto" w:fill="auto"/>
          </w:tcPr>
          <w:p w14:paraId="549F1199" w14:textId="77777777" w:rsidR="00F17D30" w:rsidRPr="000F779A" w:rsidRDefault="00F17D30" w:rsidP="00424EE1">
            <w:pPr>
              <w:spacing w:before="40" w:after="4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§438.242 Health information systems.</w:t>
            </w:r>
          </w:p>
          <w:p w14:paraId="384BB8A8" w14:textId="7B8B9E01" w:rsidR="00F17D30" w:rsidRPr="000F779A" w:rsidRDefault="00F17D30" w:rsidP="008104C7">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(b)(5)</w:t>
            </w:r>
            <w:r w:rsidRPr="000F779A">
              <w:rPr>
                <w:rFonts w:asciiTheme="minorHAnsi" w:eastAsia="Calibri" w:hAnsiTheme="minorHAnsi" w:cstheme="minorHAnsi"/>
                <w:sz w:val="22"/>
                <w:szCs w:val="22"/>
              </w:rPr>
              <w:t xml:space="preserve"> Subject to paragraph (b)(8) of this section, implement and maintain a Patient Access Application Programming Interface (API) required in §431.60 of this chapter as if such requirements applied directly to the MCO, PIHP, or PAHP and:</w:t>
            </w:r>
          </w:p>
          <w:p w14:paraId="4274561C" w14:textId="02C4F2EF" w:rsidR="00F17D30" w:rsidRPr="000F779A" w:rsidRDefault="00F17D30" w:rsidP="008104C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Include all encounter data, including encounter data from any network providers the MCO, PIHP, or PAHP is compensating based on capitation payments and adjudicated claims and encounter data from any subcontractors.</w:t>
            </w:r>
          </w:p>
          <w:p w14:paraId="46576E25" w14:textId="116317AD" w:rsidR="00F17D30" w:rsidRPr="000F779A" w:rsidRDefault="00F17D30" w:rsidP="008104C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(ii) Exclude covered outpatient drugs as defined in section 1927(k)(2) of the Act.</w:t>
            </w:r>
          </w:p>
          <w:p w14:paraId="2FED78E2" w14:textId="5A10A315" w:rsidR="00F17D30" w:rsidRPr="000F779A" w:rsidRDefault="00F17D30" w:rsidP="008104C7">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(iii) Report metrics specified in §431.60(f) of this chapter at the plan level.</w:t>
            </w:r>
          </w:p>
          <w:p w14:paraId="4A889487" w14:textId="7200ACF1" w:rsidR="00F17D30" w:rsidRPr="000F779A" w:rsidRDefault="00F17D30" w:rsidP="008104C7">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(b)(7)</w:t>
            </w:r>
            <w:r w:rsidRPr="000F779A">
              <w:rPr>
                <w:rFonts w:asciiTheme="minorHAnsi" w:eastAsia="Calibri" w:hAnsiTheme="minorHAnsi" w:cstheme="minorHAnsi"/>
                <w:sz w:val="22"/>
                <w:szCs w:val="22"/>
              </w:rPr>
              <w:t xml:space="preserve"> By the rating period beginning on or after January 1, 2027, comply with §431.61(a), (b)(1) and (4) through (6), and (b)(7)(ii) and (iii) and §431.80(b) of this chapter as if such requirements applied directly to the MCO, PIHP, or PAHP</w:t>
            </w:r>
          </w:p>
          <w:p w14:paraId="3FA84F3B" w14:textId="4B4D44B4" w:rsidR="00F17D30" w:rsidRPr="000F779A" w:rsidRDefault="00F17D30" w:rsidP="00E67793">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(b)(8)</w:t>
            </w:r>
            <w:r w:rsidRPr="000F779A">
              <w:rPr>
                <w:rFonts w:asciiTheme="minorHAnsi" w:eastAsia="Calibri" w:hAnsiTheme="minorHAnsi" w:cstheme="minorHAnsi"/>
                <w:sz w:val="22"/>
                <w:szCs w:val="22"/>
              </w:rPr>
              <w:t xml:space="preserve"> By the rating period beginning on or after January 1, 2026, comply with §431.80(a) of this chapter as if such requirements applied directly to the MCO, PIHP, or PAHP according to the decision timeframes in §438.210(d).</w:t>
            </w:r>
          </w:p>
          <w:p w14:paraId="05EFA978" w14:textId="1CC20698" w:rsidR="00F17D30" w:rsidRPr="000F779A" w:rsidRDefault="00F17D30" w:rsidP="008D002B">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(b)(9)</w:t>
            </w:r>
            <w:r w:rsidRPr="000F779A">
              <w:rPr>
                <w:rFonts w:asciiTheme="minorHAnsi" w:eastAsia="Calibri" w:hAnsiTheme="minorHAnsi" w:cstheme="minorHAnsi"/>
                <w:sz w:val="22"/>
                <w:szCs w:val="22"/>
              </w:rPr>
              <w:t xml:space="preserve"> The following timeframes apply to paragraph (b)(5) of this section:</w:t>
            </w:r>
          </w:p>
          <w:p w14:paraId="7D7B2CC8" w14:textId="4A758051" w:rsidR="00F17D30" w:rsidRPr="000F779A" w:rsidRDefault="00F17D30" w:rsidP="00364A6C">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Except for the requirements in §431.60(b)(5), (g), and (h) of this chapter, comply with the requirements of §431.60 of this chapter by January 1, 2021.</w:t>
            </w:r>
          </w:p>
          <w:p w14:paraId="0110C630" w14:textId="18C8928C" w:rsidR="00F17D30" w:rsidRPr="000F779A" w:rsidRDefault="00F17D30" w:rsidP="00364A6C">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Comply with the requirements in §431.60(b)(5) and (g) of this chapter by the rating period beginning on or after January 1, 2026.</w:t>
            </w:r>
          </w:p>
          <w:p w14:paraId="11D6C4A0" w14:textId="61AAC6A5" w:rsidR="00F17D30" w:rsidRPr="000F779A" w:rsidRDefault="00F17D30" w:rsidP="00364A6C">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(iii) Beginning in 2026, by March 31 following any year the MCO, PIHP, or PAHP operates, comply with the reporting requirements in </w:t>
            </w:r>
            <w:r w:rsidRPr="000F779A">
              <w:rPr>
                <w:rFonts w:asciiTheme="minorHAnsi" w:eastAsia="Calibri" w:hAnsiTheme="minorHAnsi" w:cstheme="minorHAnsi"/>
                <w:sz w:val="22"/>
                <w:szCs w:val="22"/>
              </w:rPr>
              <w:lastRenderedPageBreak/>
              <w:t>§431.60(h) of this chapter for the previous calendar year’s data, in the form of aggregated, de-identified metrics, at the plan level.</w:t>
            </w:r>
          </w:p>
        </w:tc>
        <w:tc>
          <w:tcPr>
            <w:tcW w:w="4140" w:type="dxa"/>
            <w:shd w:val="clear" w:color="auto" w:fill="auto"/>
          </w:tcPr>
          <w:p w14:paraId="7741E57E" w14:textId="77777777" w:rsidR="00F17D30" w:rsidRPr="000F779A" w:rsidRDefault="00F17D30" w:rsidP="00280E38">
            <w:pPr>
              <w:spacing w:before="40" w:after="40"/>
              <w:rPr>
                <w:rFonts w:asciiTheme="minorHAnsi" w:eastAsia="Calibri" w:hAnsiTheme="minorHAnsi" w:cstheme="minorHAnsi"/>
                <w:sz w:val="22"/>
                <w:szCs w:val="22"/>
              </w:rPr>
            </w:pPr>
          </w:p>
        </w:tc>
        <w:tc>
          <w:tcPr>
            <w:tcW w:w="2610" w:type="dxa"/>
            <w:vMerge/>
            <w:shd w:val="clear" w:color="auto" w:fill="auto"/>
          </w:tcPr>
          <w:p w14:paraId="360E1BE5" w14:textId="77777777" w:rsidR="00F17D30" w:rsidRPr="000F779A" w:rsidRDefault="00F17D30" w:rsidP="00280E38">
            <w:pPr>
              <w:spacing w:before="40" w:after="40"/>
              <w:rPr>
                <w:rFonts w:asciiTheme="minorHAnsi" w:eastAsia="Calibri" w:hAnsiTheme="minorHAnsi" w:cstheme="minorHAnsi"/>
                <w:sz w:val="22"/>
                <w:szCs w:val="22"/>
              </w:rPr>
            </w:pPr>
          </w:p>
        </w:tc>
      </w:tr>
    </w:tbl>
    <w:p w14:paraId="6E9CB152" w14:textId="1BD24E2C" w:rsidR="002351AB" w:rsidRPr="000F779A" w:rsidRDefault="002351AB">
      <w:pPr>
        <w:rPr>
          <w:rFonts w:asciiTheme="minorHAnsi" w:hAnsiTheme="minorHAnsi" w:cstheme="minorHAnsi"/>
        </w:rPr>
      </w:pPr>
    </w:p>
    <w:tbl>
      <w:tblPr>
        <w:tblW w:w="1365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7200"/>
        <w:gridCol w:w="4140"/>
      </w:tblGrid>
      <w:tr w:rsidR="007577BC" w:rsidRPr="000F779A" w14:paraId="446D243D" w14:textId="77777777" w:rsidTr="001979F8">
        <w:trPr>
          <w:trHeight w:val="360"/>
          <w:tblHeader/>
        </w:trPr>
        <w:tc>
          <w:tcPr>
            <w:tcW w:w="13657" w:type="dxa"/>
            <w:gridSpan w:val="3"/>
            <w:shd w:val="clear" w:color="auto" w:fill="4472C4" w:themeFill="accent1"/>
            <w:vAlign w:val="center"/>
          </w:tcPr>
          <w:p w14:paraId="0FBF996A" w14:textId="5F89A2C5" w:rsidR="007577BC" w:rsidRPr="000F779A" w:rsidRDefault="007577BC" w:rsidP="001827E6">
            <w:pPr>
              <w:jc w:val="center"/>
              <w:rPr>
                <w:rFonts w:asciiTheme="minorHAnsi" w:eastAsia="Calibri" w:hAnsiTheme="minorHAnsi" w:cstheme="minorHAnsi"/>
                <w:b/>
                <w:color w:val="FFFFFF" w:themeColor="background1"/>
                <w:sz w:val="22"/>
                <w:szCs w:val="22"/>
              </w:rPr>
            </w:pPr>
            <w:r w:rsidRPr="000F779A">
              <w:rPr>
                <w:rFonts w:asciiTheme="minorHAnsi" w:eastAsia="Calibri" w:hAnsiTheme="minorHAnsi" w:cstheme="minorHAnsi"/>
                <w:b/>
                <w:color w:val="FFFFFF" w:themeColor="background1"/>
                <w:sz w:val="22"/>
                <w:szCs w:val="22"/>
              </w:rPr>
              <w:t>Changes/</w:t>
            </w:r>
            <w:r w:rsidR="006E5FAC" w:rsidRPr="000F779A">
              <w:rPr>
                <w:rFonts w:asciiTheme="minorHAnsi" w:eastAsia="Calibri" w:hAnsiTheme="minorHAnsi" w:cstheme="minorHAnsi"/>
                <w:b/>
                <w:color w:val="FFFFFF" w:themeColor="background1"/>
                <w:sz w:val="22"/>
                <w:szCs w:val="22"/>
              </w:rPr>
              <w:t>Potential Impact</w:t>
            </w:r>
            <w:r w:rsidR="00610830" w:rsidRPr="000F779A">
              <w:rPr>
                <w:rFonts w:asciiTheme="minorHAnsi" w:eastAsia="Calibri" w:hAnsiTheme="minorHAnsi" w:cstheme="minorHAnsi"/>
                <w:b/>
                <w:color w:val="FFFFFF" w:themeColor="background1"/>
                <w:sz w:val="22"/>
                <w:szCs w:val="22"/>
              </w:rPr>
              <w:t>—As Finalized</w:t>
            </w:r>
          </w:p>
        </w:tc>
      </w:tr>
      <w:tr w:rsidR="007577BC" w:rsidRPr="000F779A" w14:paraId="618A1E92" w14:textId="77777777" w:rsidTr="001979F8">
        <w:trPr>
          <w:trHeight w:val="360"/>
          <w:tblHeader/>
        </w:trPr>
        <w:tc>
          <w:tcPr>
            <w:tcW w:w="13657" w:type="dxa"/>
            <w:gridSpan w:val="3"/>
            <w:shd w:val="clear" w:color="auto" w:fill="FFC000" w:themeFill="accent4"/>
            <w:vAlign w:val="center"/>
          </w:tcPr>
          <w:p w14:paraId="2A1422DC" w14:textId="51C5F8A9" w:rsidR="007577BC" w:rsidRPr="000F779A" w:rsidRDefault="007577BC" w:rsidP="001827E6">
            <w:pPr>
              <w:jc w:val="center"/>
              <w:rPr>
                <w:rFonts w:asciiTheme="minorHAnsi" w:eastAsia="Calibri" w:hAnsiTheme="minorHAnsi" w:cstheme="minorHAnsi"/>
                <w:b/>
                <w:color w:val="FFFFFF" w:themeColor="background1"/>
                <w:sz w:val="22"/>
                <w:szCs w:val="22"/>
              </w:rPr>
            </w:pPr>
            <w:r w:rsidRPr="000F779A">
              <w:rPr>
                <w:rFonts w:asciiTheme="minorHAnsi" w:eastAsia="Calibri" w:hAnsiTheme="minorHAnsi" w:cstheme="minorHAnsi"/>
                <w:b/>
                <w:sz w:val="22"/>
                <w:szCs w:val="22"/>
              </w:rPr>
              <w:t xml:space="preserve">Changes Related to </w:t>
            </w:r>
            <w:r w:rsidR="00AA1543" w:rsidRPr="000F779A">
              <w:rPr>
                <w:rFonts w:asciiTheme="minorHAnsi" w:eastAsia="Calibri" w:hAnsiTheme="minorHAnsi" w:cstheme="minorHAnsi"/>
                <w:b/>
                <w:sz w:val="22"/>
                <w:szCs w:val="22"/>
              </w:rPr>
              <w:t>Part 440—General Provisions</w:t>
            </w:r>
          </w:p>
        </w:tc>
      </w:tr>
      <w:tr w:rsidR="00CF505B" w:rsidRPr="000F779A" w14:paraId="1DA5AD00" w14:textId="77777777" w:rsidTr="00F60B10">
        <w:trPr>
          <w:trHeight w:val="360"/>
          <w:tblHeader/>
        </w:trPr>
        <w:tc>
          <w:tcPr>
            <w:tcW w:w="2317" w:type="dxa"/>
            <w:tcBorders>
              <w:bottom w:val="single" w:sz="4" w:space="0" w:color="595959"/>
            </w:tcBorders>
            <w:shd w:val="clear" w:color="auto" w:fill="DEEAF6" w:themeFill="accent5" w:themeFillTint="33"/>
            <w:vAlign w:val="center"/>
          </w:tcPr>
          <w:p w14:paraId="0AC3C047" w14:textId="2F26CE22" w:rsidR="00CF505B" w:rsidRPr="000F779A" w:rsidRDefault="00CF505B" w:rsidP="006E5FAC">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Change and Applicability Dates</w:t>
            </w:r>
          </w:p>
        </w:tc>
        <w:tc>
          <w:tcPr>
            <w:tcW w:w="7200" w:type="dxa"/>
            <w:tcBorders>
              <w:bottom w:val="single" w:sz="4" w:space="0" w:color="595959"/>
            </w:tcBorders>
            <w:shd w:val="clear" w:color="auto" w:fill="DEEAF6" w:themeFill="accent5" w:themeFillTint="33"/>
            <w:vAlign w:val="center"/>
          </w:tcPr>
          <w:p w14:paraId="12B4133A" w14:textId="5DC9C1B5" w:rsidR="00CF505B" w:rsidRPr="000F779A" w:rsidRDefault="00CF505B" w:rsidP="006E5FAC">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Summary of Changes</w:t>
            </w:r>
          </w:p>
        </w:tc>
        <w:tc>
          <w:tcPr>
            <w:tcW w:w="4140" w:type="dxa"/>
            <w:tcBorders>
              <w:bottom w:val="single" w:sz="4" w:space="0" w:color="595959"/>
            </w:tcBorders>
            <w:shd w:val="clear" w:color="auto" w:fill="DEEAF6" w:themeFill="accent5" w:themeFillTint="33"/>
            <w:vAlign w:val="center"/>
          </w:tcPr>
          <w:p w14:paraId="6D096CF4" w14:textId="488ABC48" w:rsidR="00CF505B" w:rsidRPr="000F779A" w:rsidRDefault="00F60B10" w:rsidP="006E5FAC">
            <w:pPr>
              <w:jc w:val="center"/>
              <w:rPr>
                <w:rFonts w:asciiTheme="minorHAnsi" w:eastAsia="Calibri" w:hAnsiTheme="minorHAnsi" w:cstheme="minorHAnsi"/>
                <w:b/>
                <w:sz w:val="22"/>
                <w:szCs w:val="22"/>
              </w:rPr>
            </w:pPr>
            <w:r w:rsidRPr="000F779A">
              <w:rPr>
                <w:rFonts w:asciiTheme="minorHAnsi" w:eastAsia="Calibri" w:hAnsiTheme="minorHAnsi" w:cstheme="minorHAnsi"/>
                <w:b/>
                <w:sz w:val="22"/>
                <w:szCs w:val="22"/>
              </w:rPr>
              <w:t>CMS Discussion Highlights</w:t>
            </w:r>
          </w:p>
        </w:tc>
      </w:tr>
      <w:tr w:rsidR="00CF505B" w:rsidRPr="000F779A" w14:paraId="6F2A9689" w14:textId="77777777" w:rsidTr="00F60B10">
        <w:trPr>
          <w:trHeight w:val="944"/>
        </w:trPr>
        <w:tc>
          <w:tcPr>
            <w:tcW w:w="2317" w:type="dxa"/>
            <w:tcBorders>
              <w:bottom w:val="single" w:sz="4" w:space="0" w:color="auto"/>
            </w:tcBorders>
            <w:shd w:val="clear" w:color="auto" w:fill="auto"/>
          </w:tcPr>
          <w:p w14:paraId="7F5560DA" w14:textId="5696E881" w:rsidR="004A5B9A" w:rsidRPr="000F779A" w:rsidRDefault="004A5B9A" w:rsidP="004A5B9A">
            <w:pPr>
              <w:pStyle w:val="ListParagraph"/>
              <w:ind w:left="0"/>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Amend §4</w:t>
            </w:r>
            <w:r w:rsidR="00DB1993" w:rsidRPr="000F779A">
              <w:rPr>
                <w:rFonts w:asciiTheme="minorHAnsi" w:eastAsia="Calibri" w:hAnsiTheme="minorHAnsi" w:cstheme="minorHAnsi"/>
                <w:b/>
                <w:bCs/>
                <w:i/>
                <w:iCs/>
                <w:sz w:val="22"/>
                <w:szCs w:val="22"/>
              </w:rPr>
              <w:t>40</w:t>
            </w:r>
            <w:r w:rsidRPr="000F779A">
              <w:rPr>
                <w:rFonts w:asciiTheme="minorHAnsi" w:eastAsia="Calibri" w:hAnsiTheme="minorHAnsi" w:cstheme="minorHAnsi"/>
                <w:b/>
                <w:bCs/>
                <w:i/>
                <w:iCs/>
                <w:sz w:val="22"/>
                <w:szCs w:val="22"/>
              </w:rPr>
              <w:t>.2</w:t>
            </w:r>
            <w:r w:rsidR="00DB1993" w:rsidRPr="000F779A">
              <w:rPr>
                <w:rFonts w:asciiTheme="minorHAnsi" w:eastAsia="Calibri" w:hAnsiTheme="minorHAnsi" w:cstheme="minorHAnsi"/>
                <w:b/>
                <w:bCs/>
                <w:i/>
                <w:iCs/>
                <w:sz w:val="22"/>
                <w:szCs w:val="22"/>
              </w:rPr>
              <w:t>30</w:t>
            </w:r>
            <w:r w:rsidRPr="000F779A">
              <w:rPr>
                <w:rFonts w:asciiTheme="minorHAnsi" w:eastAsia="Calibri" w:hAnsiTheme="minorHAnsi" w:cstheme="minorHAnsi"/>
                <w:b/>
                <w:bCs/>
                <w:i/>
                <w:iCs/>
                <w:sz w:val="22"/>
                <w:szCs w:val="22"/>
              </w:rPr>
              <w:t xml:space="preserve"> by—</w:t>
            </w:r>
          </w:p>
          <w:p w14:paraId="3B176190" w14:textId="48F70A2C" w:rsidR="00DB1993" w:rsidRPr="000F779A" w:rsidRDefault="00D0218C" w:rsidP="004A5B9A">
            <w:pPr>
              <w:pStyle w:val="ListParagraph"/>
              <w:ind w:left="0"/>
              <w:rPr>
                <w:rFonts w:asciiTheme="minorHAnsi" w:eastAsia="Calibri" w:hAnsiTheme="minorHAnsi" w:cstheme="minorHAnsi"/>
                <w:sz w:val="22"/>
                <w:szCs w:val="22"/>
              </w:rPr>
            </w:pPr>
            <w:r w:rsidRPr="000F779A">
              <w:rPr>
                <w:rFonts w:asciiTheme="minorHAnsi" w:eastAsia="Calibri" w:hAnsiTheme="minorHAnsi" w:cstheme="minorHAnsi"/>
                <w:sz w:val="22"/>
                <w:szCs w:val="22"/>
              </w:rPr>
              <w:t>Adding paragraph (e).</w:t>
            </w:r>
          </w:p>
          <w:p w14:paraId="105726E3" w14:textId="77777777" w:rsidR="00663A2F" w:rsidRPr="000F779A" w:rsidRDefault="00663A2F" w:rsidP="004A5B9A">
            <w:pPr>
              <w:pStyle w:val="ListParagraph"/>
              <w:ind w:left="0"/>
              <w:rPr>
                <w:rFonts w:asciiTheme="minorHAnsi" w:eastAsia="Calibri" w:hAnsiTheme="minorHAnsi" w:cstheme="minorHAnsi"/>
                <w:sz w:val="22"/>
                <w:szCs w:val="22"/>
              </w:rPr>
            </w:pPr>
          </w:p>
          <w:p w14:paraId="6008C1AF" w14:textId="77777777" w:rsidR="00663A2F" w:rsidRPr="000F779A" w:rsidRDefault="00663A2F" w:rsidP="00663A2F">
            <w:pPr>
              <w:rPr>
                <w:rFonts w:asciiTheme="minorHAnsi" w:eastAsia="Calibri" w:hAnsiTheme="minorHAnsi" w:cstheme="minorHAnsi"/>
                <w:b/>
                <w:bCs/>
                <w:i/>
                <w:iCs/>
                <w:sz w:val="22"/>
                <w:szCs w:val="22"/>
              </w:rPr>
            </w:pPr>
            <w:r w:rsidRPr="000F779A">
              <w:rPr>
                <w:rFonts w:asciiTheme="minorHAnsi" w:eastAsia="Calibri" w:hAnsiTheme="minorHAnsi" w:cstheme="minorHAnsi"/>
                <w:b/>
                <w:bCs/>
                <w:i/>
                <w:iCs/>
                <w:sz w:val="22"/>
                <w:szCs w:val="22"/>
              </w:rPr>
              <w:t>Applicability Date:</w:t>
            </w:r>
          </w:p>
          <w:p w14:paraId="6E97CE30" w14:textId="5E372C77" w:rsidR="00663A2F" w:rsidRPr="000F779A" w:rsidRDefault="00663A2F" w:rsidP="00663A2F">
            <w:pPr>
              <w:pStyle w:val="ListParagraph"/>
              <w:ind w:left="0"/>
              <w:rPr>
                <w:rFonts w:asciiTheme="minorHAnsi" w:eastAsia="Calibri" w:hAnsiTheme="minorHAnsi" w:cstheme="minorHAnsi"/>
                <w:sz w:val="22"/>
                <w:szCs w:val="22"/>
              </w:rPr>
            </w:pPr>
            <w:r w:rsidRPr="000F779A">
              <w:rPr>
                <w:rFonts w:asciiTheme="minorHAnsi" w:eastAsia="Calibri" w:hAnsiTheme="minorHAnsi" w:cstheme="minorHAnsi"/>
                <w:sz w:val="22"/>
                <w:szCs w:val="22"/>
              </w:rPr>
              <w:t>January 1, 2026.</w:t>
            </w:r>
          </w:p>
          <w:p w14:paraId="40209D2F" w14:textId="53320C09" w:rsidR="00CF505B" w:rsidRPr="000F779A" w:rsidRDefault="00CF505B" w:rsidP="002948F6">
            <w:pPr>
              <w:pStyle w:val="ListParagraph"/>
              <w:spacing w:before="40" w:after="40"/>
              <w:ind w:left="0"/>
              <w:rPr>
                <w:rFonts w:asciiTheme="minorHAnsi" w:eastAsia="Calibri" w:hAnsiTheme="minorHAnsi" w:cstheme="minorHAnsi"/>
                <w:sz w:val="22"/>
                <w:szCs w:val="22"/>
              </w:rPr>
            </w:pPr>
          </w:p>
        </w:tc>
        <w:tc>
          <w:tcPr>
            <w:tcW w:w="7200" w:type="dxa"/>
            <w:tcBorders>
              <w:bottom w:val="single" w:sz="4" w:space="0" w:color="auto"/>
            </w:tcBorders>
            <w:shd w:val="clear" w:color="auto" w:fill="auto"/>
          </w:tcPr>
          <w:p w14:paraId="0B20F453" w14:textId="0B9A7CC0" w:rsidR="00245360" w:rsidRPr="000F779A" w:rsidRDefault="00245360" w:rsidP="00245360">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i/>
                <w:iCs/>
                <w:sz w:val="22"/>
                <w:szCs w:val="22"/>
              </w:rPr>
              <w:t>§440.230</w:t>
            </w:r>
            <w:r w:rsidRPr="000F779A">
              <w:rPr>
                <w:rFonts w:asciiTheme="minorHAnsi" w:eastAsia="Calibri" w:hAnsiTheme="minorHAnsi" w:cstheme="minorHAnsi"/>
                <w:b/>
                <w:bCs/>
                <w:sz w:val="22"/>
                <w:szCs w:val="22"/>
              </w:rPr>
              <w:t>(e)</w:t>
            </w:r>
            <w:r w:rsidRPr="000F779A">
              <w:rPr>
                <w:rFonts w:asciiTheme="minorHAnsi" w:eastAsia="Calibri" w:hAnsiTheme="minorHAnsi" w:cstheme="minorHAnsi"/>
                <w:sz w:val="22"/>
                <w:szCs w:val="22"/>
              </w:rPr>
              <w:t xml:space="preserve"> For prior authorization requests for</w:t>
            </w:r>
            <w:r w:rsidR="00A649E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items and services (excluding drugs, as</w:t>
            </w:r>
            <w:r w:rsidR="00A649E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defined in §431.60(b)(6) of this</w:t>
            </w:r>
            <w:r w:rsidR="00A649E9"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chapter),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Medicaid agency</w:t>
            </w:r>
          </w:p>
          <w:p w14:paraId="0A49B8DF" w14:textId="77777777" w:rsidR="00245360" w:rsidRPr="000F779A" w:rsidRDefault="00245360" w:rsidP="00245360">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must—</w:t>
            </w:r>
          </w:p>
          <w:p w14:paraId="398D31CD" w14:textId="548B792A" w:rsidR="00245360" w:rsidRPr="000F779A" w:rsidRDefault="00FC25FE" w:rsidP="00FC25FE">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(e)</w:t>
            </w:r>
            <w:r w:rsidR="00245360" w:rsidRPr="000F779A">
              <w:rPr>
                <w:rFonts w:asciiTheme="minorHAnsi" w:eastAsia="Calibri" w:hAnsiTheme="minorHAnsi" w:cstheme="minorHAnsi"/>
                <w:b/>
                <w:bCs/>
                <w:sz w:val="22"/>
                <w:szCs w:val="22"/>
              </w:rPr>
              <w:t>(1)</w:t>
            </w:r>
            <w:r w:rsidR="00245360" w:rsidRPr="000F779A">
              <w:rPr>
                <w:rFonts w:asciiTheme="minorHAnsi" w:eastAsia="Calibri" w:hAnsiTheme="minorHAnsi" w:cstheme="minorHAnsi"/>
                <w:sz w:val="22"/>
                <w:szCs w:val="22"/>
              </w:rPr>
              <w:t xml:space="preserve"> Beginning January 1, 2026, make</w:t>
            </w:r>
            <w:r w:rsidR="00A649E9"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t>prior authorization decisions within the</w:t>
            </w:r>
            <w:r w:rsidR="00A649E9"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t>following timeframes:</w:t>
            </w:r>
          </w:p>
          <w:p w14:paraId="6560A9B2" w14:textId="598B5252" w:rsidR="00245360" w:rsidRPr="000F779A" w:rsidRDefault="00245360" w:rsidP="00FC25FE">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For a standard determination, as</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expeditiously as a beneficiary’s health</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condition requires, but in no case later</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than 7 calendar days after receiving the</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request, unless a shorter minimum</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timeframe is established under </w:t>
            </w:r>
            <w:r w:rsidR="00D20C60" w:rsidRPr="000F779A">
              <w:rPr>
                <w:rFonts w:asciiTheme="minorHAnsi" w:eastAsia="Calibri" w:hAnsiTheme="minorHAnsi" w:cstheme="minorHAnsi"/>
                <w:sz w:val="22"/>
                <w:szCs w:val="22"/>
              </w:rPr>
              <w:t>state</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law. The timeframe for standard</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decisions can be extended</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by up to 14 calendar days if the</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beneficiary or provider requests an</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extension, or if the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agency</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determines that additional information</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from the provider is needed to make a</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decision.</w:t>
            </w:r>
          </w:p>
          <w:p w14:paraId="2D0C9E00" w14:textId="0A5CBD83" w:rsidR="00245360" w:rsidRPr="000F779A" w:rsidRDefault="00245360" w:rsidP="00FC25FE">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For an expedited determination, as</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expeditiously as a beneficiary’s health</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condition requires, but in no case later</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than 72 hours after receiving the</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request, unless a shorter minimum</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timeframe is established under </w:t>
            </w:r>
            <w:r w:rsidR="00D20C60" w:rsidRPr="000F779A">
              <w:rPr>
                <w:rFonts w:asciiTheme="minorHAnsi" w:eastAsia="Calibri" w:hAnsiTheme="minorHAnsi" w:cstheme="minorHAnsi"/>
                <w:sz w:val="22"/>
                <w:szCs w:val="22"/>
              </w:rPr>
              <w:t>state</w:t>
            </w:r>
            <w:r w:rsidR="00FC25FE"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law.</w:t>
            </w:r>
          </w:p>
          <w:p w14:paraId="6339597E" w14:textId="77777777" w:rsidR="00CF505B" w:rsidRPr="000F779A" w:rsidRDefault="00FC25FE" w:rsidP="00FC25FE">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(e)</w:t>
            </w:r>
            <w:r w:rsidR="00245360" w:rsidRPr="000F779A">
              <w:rPr>
                <w:rFonts w:asciiTheme="minorHAnsi" w:eastAsia="Calibri" w:hAnsiTheme="minorHAnsi" w:cstheme="minorHAnsi"/>
                <w:b/>
                <w:bCs/>
                <w:sz w:val="22"/>
                <w:szCs w:val="22"/>
              </w:rPr>
              <w:t>(2)</w:t>
            </w:r>
            <w:r w:rsidR="00245360" w:rsidRPr="000F779A">
              <w:rPr>
                <w:rFonts w:asciiTheme="minorHAnsi" w:eastAsia="Calibri" w:hAnsiTheme="minorHAnsi" w:cstheme="minorHAnsi"/>
                <w:sz w:val="22"/>
                <w:szCs w:val="22"/>
              </w:rPr>
              <w:t xml:space="preserve"> Provide the beneficiary with notice</w:t>
            </w:r>
            <w:r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t>of the agency’s prior authorization</w:t>
            </w:r>
            <w:r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t>decision in accordance with §435.917</w:t>
            </w:r>
            <w:r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t>of this chapter and provide fair hearing</w:t>
            </w:r>
            <w:r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lastRenderedPageBreak/>
              <w:t>rights, including advance notice, in</w:t>
            </w:r>
            <w:r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t>accordance with part 431, subpart E, of</w:t>
            </w:r>
            <w:r w:rsidRPr="000F779A">
              <w:rPr>
                <w:rFonts w:asciiTheme="minorHAnsi" w:eastAsia="Calibri" w:hAnsiTheme="minorHAnsi" w:cstheme="minorHAnsi"/>
                <w:sz w:val="22"/>
                <w:szCs w:val="22"/>
              </w:rPr>
              <w:t xml:space="preserve"> </w:t>
            </w:r>
            <w:r w:rsidR="00245360" w:rsidRPr="000F779A">
              <w:rPr>
                <w:rFonts w:asciiTheme="minorHAnsi" w:eastAsia="Calibri" w:hAnsiTheme="minorHAnsi" w:cstheme="minorHAnsi"/>
                <w:sz w:val="22"/>
                <w:szCs w:val="22"/>
              </w:rPr>
              <w:t>this chapter.</w:t>
            </w:r>
          </w:p>
          <w:p w14:paraId="103308AB" w14:textId="7BDEA4E4" w:rsidR="00526C42" w:rsidRPr="000F779A" w:rsidRDefault="001265C1" w:rsidP="00526C42">
            <w:pPr>
              <w:spacing w:before="40" w:after="40"/>
              <w:rPr>
                <w:rFonts w:asciiTheme="minorHAnsi" w:eastAsia="Calibri" w:hAnsiTheme="minorHAnsi" w:cstheme="minorHAnsi"/>
                <w:sz w:val="22"/>
                <w:szCs w:val="22"/>
              </w:rPr>
            </w:pPr>
            <w:r w:rsidRPr="000F779A">
              <w:rPr>
                <w:rFonts w:asciiTheme="minorHAnsi" w:eastAsia="Calibri" w:hAnsiTheme="minorHAnsi" w:cstheme="minorHAnsi"/>
                <w:b/>
                <w:bCs/>
                <w:sz w:val="22"/>
                <w:szCs w:val="22"/>
              </w:rPr>
              <w:t>(e)</w:t>
            </w:r>
            <w:r w:rsidR="00526C42" w:rsidRPr="000F779A">
              <w:rPr>
                <w:rFonts w:asciiTheme="minorHAnsi" w:eastAsia="Calibri" w:hAnsiTheme="minorHAnsi" w:cstheme="minorHAnsi"/>
                <w:b/>
                <w:bCs/>
                <w:sz w:val="22"/>
                <w:szCs w:val="22"/>
              </w:rPr>
              <w:t>(3)</w:t>
            </w:r>
            <w:r w:rsidR="00526C42" w:rsidRPr="000F779A">
              <w:rPr>
                <w:rFonts w:asciiTheme="minorHAnsi" w:eastAsia="Calibri" w:hAnsiTheme="minorHAnsi" w:cstheme="minorHAnsi"/>
                <w:sz w:val="22"/>
                <w:szCs w:val="22"/>
              </w:rPr>
              <w:t xml:space="preserve"> Beginning in 2026, annually report</w:t>
            </w:r>
            <w:r w:rsidRPr="000F779A">
              <w:rPr>
                <w:rFonts w:asciiTheme="minorHAnsi" w:eastAsia="Calibri" w:hAnsiTheme="minorHAnsi" w:cstheme="minorHAnsi"/>
                <w:sz w:val="22"/>
                <w:szCs w:val="22"/>
              </w:rPr>
              <w:t xml:space="preserve"> </w:t>
            </w:r>
            <w:r w:rsidR="00526C42" w:rsidRPr="000F779A">
              <w:rPr>
                <w:rFonts w:asciiTheme="minorHAnsi" w:eastAsia="Calibri" w:hAnsiTheme="minorHAnsi" w:cstheme="minorHAnsi"/>
                <w:sz w:val="22"/>
                <w:szCs w:val="22"/>
              </w:rPr>
              <w:t>prior authorization data, excluding data</w:t>
            </w:r>
            <w:r w:rsidRPr="000F779A">
              <w:rPr>
                <w:rFonts w:asciiTheme="minorHAnsi" w:eastAsia="Calibri" w:hAnsiTheme="minorHAnsi" w:cstheme="minorHAnsi"/>
                <w:sz w:val="22"/>
                <w:szCs w:val="22"/>
              </w:rPr>
              <w:t xml:space="preserve"> </w:t>
            </w:r>
            <w:r w:rsidR="00526C42" w:rsidRPr="000F779A">
              <w:rPr>
                <w:rFonts w:asciiTheme="minorHAnsi" w:eastAsia="Calibri" w:hAnsiTheme="minorHAnsi" w:cstheme="minorHAnsi"/>
                <w:sz w:val="22"/>
                <w:szCs w:val="22"/>
              </w:rPr>
              <w:t>on drugs, as defined in §431.60(b)(6) of</w:t>
            </w:r>
            <w:r w:rsidRPr="000F779A">
              <w:rPr>
                <w:rFonts w:asciiTheme="minorHAnsi" w:eastAsia="Calibri" w:hAnsiTheme="minorHAnsi" w:cstheme="minorHAnsi"/>
                <w:sz w:val="22"/>
                <w:szCs w:val="22"/>
              </w:rPr>
              <w:t xml:space="preserve"> </w:t>
            </w:r>
            <w:r w:rsidR="00526C42" w:rsidRPr="000F779A">
              <w:rPr>
                <w:rFonts w:asciiTheme="minorHAnsi" w:eastAsia="Calibri" w:hAnsiTheme="minorHAnsi" w:cstheme="minorHAnsi"/>
                <w:sz w:val="22"/>
                <w:szCs w:val="22"/>
              </w:rPr>
              <w:t xml:space="preserve">this chapter, at the </w:t>
            </w:r>
            <w:r w:rsidR="00D20C60" w:rsidRPr="000F779A">
              <w:rPr>
                <w:rFonts w:asciiTheme="minorHAnsi" w:eastAsia="Calibri" w:hAnsiTheme="minorHAnsi" w:cstheme="minorHAnsi"/>
                <w:sz w:val="22"/>
                <w:szCs w:val="22"/>
              </w:rPr>
              <w:t>state</w:t>
            </w:r>
            <w:r w:rsidR="00526C42" w:rsidRPr="000F779A">
              <w:rPr>
                <w:rFonts w:asciiTheme="minorHAnsi" w:eastAsia="Calibri" w:hAnsiTheme="minorHAnsi" w:cstheme="minorHAnsi"/>
                <w:sz w:val="22"/>
                <w:szCs w:val="22"/>
              </w:rPr>
              <w:t xml:space="preserve"> level by March</w:t>
            </w:r>
            <w:r w:rsidRPr="000F779A">
              <w:rPr>
                <w:rFonts w:asciiTheme="minorHAnsi" w:eastAsia="Calibri" w:hAnsiTheme="minorHAnsi" w:cstheme="minorHAnsi"/>
                <w:sz w:val="22"/>
                <w:szCs w:val="22"/>
              </w:rPr>
              <w:t xml:space="preserve"> </w:t>
            </w:r>
            <w:r w:rsidR="00526C42" w:rsidRPr="000F779A">
              <w:rPr>
                <w:rFonts w:asciiTheme="minorHAnsi" w:eastAsia="Calibri" w:hAnsiTheme="minorHAnsi" w:cstheme="minorHAnsi"/>
                <w:sz w:val="22"/>
                <w:szCs w:val="22"/>
              </w:rPr>
              <w:t xml:space="preserve">31. The </w:t>
            </w:r>
            <w:r w:rsidR="00D20C60" w:rsidRPr="000F779A">
              <w:rPr>
                <w:rFonts w:asciiTheme="minorHAnsi" w:eastAsia="Calibri" w:hAnsiTheme="minorHAnsi" w:cstheme="minorHAnsi"/>
                <w:sz w:val="22"/>
                <w:szCs w:val="22"/>
              </w:rPr>
              <w:t>state</w:t>
            </w:r>
            <w:r w:rsidR="00526C42" w:rsidRPr="000F779A">
              <w:rPr>
                <w:rFonts w:asciiTheme="minorHAnsi" w:eastAsia="Calibri" w:hAnsiTheme="minorHAnsi" w:cstheme="minorHAnsi"/>
                <w:sz w:val="22"/>
                <w:szCs w:val="22"/>
              </w:rPr>
              <w:t xml:space="preserve"> must make the following</w:t>
            </w:r>
            <w:r w:rsidRPr="000F779A">
              <w:rPr>
                <w:rFonts w:asciiTheme="minorHAnsi" w:eastAsia="Calibri" w:hAnsiTheme="minorHAnsi" w:cstheme="minorHAnsi"/>
                <w:sz w:val="22"/>
                <w:szCs w:val="22"/>
              </w:rPr>
              <w:t xml:space="preserve"> </w:t>
            </w:r>
            <w:r w:rsidR="00526C42" w:rsidRPr="000F779A">
              <w:rPr>
                <w:rFonts w:asciiTheme="minorHAnsi" w:eastAsia="Calibri" w:hAnsiTheme="minorHAnsi" w:cstheme="minorHAnsi"/>
                <w:sz w:val="22"/>
                <w:szCs w:val="22"/>
              </w:rPr>
              <w:t>data from the previous calendar year</w:t>
            </w:r>
            <w:r w:rsidRPr="000F779A">
              <w:rPr>
                <w:rFonts w:asciiTheme="minorHAnsi" w:eastAsia="Calibri" w:hAnsiTheme="minorHAnsi" w:cstheme="minorHAnsi"/>
                <w:sz w:val="22"/>
                <w:szCs w:val="22"/>
              </w:rPr>
              <w:t xml:space="preserve"> </w:t>
            </w:r>
            <w:r w:rsidR="00526C42" w:rsidRPr="000F779A">
              <w:rPr>
                <w:rFonts w:asciiTheme="minorHAnsi" w:eastAsia="Calibri" w:hAnsiTheme="minorHAnsi" w:cstheme="minorHAnsi"/>
                <w:sz w:val="22"/>
                <w:szCs w:val="22"/>
              </w:rPr>
              <w:t>publicly accessible by posting them on</w:t>
            </w:r>
            <w:r w:rsidRPr="000F779A">
              <w:rPr>
                <w:rFonts w:asciiTheme="minorHAnsi" w:eastAsia="Calibri" w:hAnsiTheme="minorHAnsi" w:cstheme="minorHAnsi"/>
                <w:sz w:val="22"/>
                <w:szCs w:val="22"/>
              </w:rPr>
              <w:t xml:space="preserve"> </w:t>
            </w:r>
            <w:r w:rsidR="00526C42" w:rsidRPr="000F779A">
              <w:rPr>
                <w:rFonts w:asciiTheme="minorHAnsi" w:eastAsia="Calibri" w:hAnsiTheme="minorHAnsi" w:cstheme="minorHAnsi"/>
                <w:sz w:val="22"/>
                <w:szCs w:val="22"/>
              </w:rPr>
              <w:t>its website:</w:t>
            </w:r>
          </w:p>
          <w:p w14:paraId="069FFFA5" w14:textId="56886C93" w:rsidR="00526C42" w:rsidRPr="000F779A" w:rsidRDefault="00526C42" w:rsidP="001265C1">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 A list of all items and services that</w:t>
            </w:r>
            <w:r w:rsidR="001265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require prior authorization.</w:t>
            </w:r>
          </w:p>
          <w:p w14:paraId="78D90613" w14:textId="449B1101" w:rsidR="00526C42" w:rsidRPr="000F779A" w:rsidRDefault="00526C42" w:rsidP="00A4222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 The percentage of standard prior</w:t>
            </w:r>
            <w:r w:rsidR="001265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requests that were</w:t>
            </w:r>
            <w:r w:rsidR="001265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approved, aggregated for all items and</w:t>
            </w:r>
            <w:r w:rsidR="001265C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services.</w:t>
            </w:r>
          </w:p>
          <w:p w14:paraId="6300C4D2" w14:textId="77777777" w:rsidR="00A42226" w:rsidRPr="000F779A" w:rsidRDefault="00526C42" w:rsidP="00A4222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(iii) The percentage of standard prior</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requests that were denied,</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aggregated for all items and services.</w:t>
            </w:r>
            <w:r w:rsidR="00A42226" w:rsidRPr="000F779A">
              <w:rPr>
                <w:rFonts w:asciiTheme="minorHAnsi" w:eastAsia="Calibri" w:hAnsiTheme="minorHAnsi" w:cstheme="minorHAnsi"/>
                <w:sz w:val="22"/>
                <w:szCs w:val="22"/>
              </w:rPr>
              <w:t xml:space="preserve"> </w:t>
            </w:r>
          </w:p>
          <w:p w14:paraId="32CADA68" w14:textId="77777777" w:rsidR="00A42226" w:rsidRPr="000F779A" w:rsidRDefault="00526C42" w:rsidP="00A4222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(iv) The percentage of standard prior</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requests that were</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approved after appeal, aggregated for all</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items and services.</w:t>
            </w:r>
            <w:r w:rsidR="00A42226" w:rsidRPr="000F779A">
              <w:rPr>
                <w:rFonts w:asciiTheme="minorHAnsi" w:eastAsia="Calibri" w:hAnsiTheme="minorHAnsi" w:cstheme="minorHAnsi"/>
                <w:sz w:val="22"/>
                <w:szCs w:val="22"/>
              </w:rPr>
              <w:t xml:space="preserve"> </w:t>
            </w:r>
          </w:p>
          <w:p w14:paraId="1CA737F1" w14:textId="77777777" w:rsidR="00A42226" w:rsidRPr="000F779A" w:rsidRDefault="00526C42" w:rsidP="00A4222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(v) The percentage of prior</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requests for which the</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timeframe for review was extended, and</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the request was approved, aggregated for</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all items and services.</w:t>
            </w:r>
            <w:r w:rsidR="00A42226" w:rsidRPr="000F779A">
              <w:rPr>
                <w:rFonts w:asciiTheme="minorHAnsi" w:eastAsia="Calibri" w:hAnsiTheme="minorHAnsi" w:cstheme="minorHAnsi"/>
                <w:sz w:val="22"/>
                <w:szCs w:val="22"/>
              </w:rPr>
              <w:t xml:space="preserve"> </w:t>
            </w:r>
          </w:p>
          <w:p w14:paraId="7822C8BA" w14:textId="77777777" w:rsidR="00A42226" w:rsidRPr="000F779A" w:rsidRDefault="00526C42" w:rsidP="00A4222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(vi) The percentage of expedited prior</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 requests that were</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approved, aggregated for all items and</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services.</w:t>
            </w:r>
            <w:r w:rsidR="00A42226" w:rsidRPr="000F779A">
              <w:rPr>
                <w:rFonts w:asciiTheme="minorHAnsi" w:eastAsia="Calibri" w:hAnsiTheme="minorHAnsi" w:cstheme="minorHAnsi"/>
                <w:sz w:val="22"/>
                <w:szCs w:val="22"/>
              </w:rPr>
              <w:t xml:space="preserve"> </w:t>
            </w:r>
          </w:p>
          <w:p w14:paraId="395E26FA" w14:textId="77777777" w:rsidR="00A42226" w:rsidRPr="000F779A" w:rsidRDefault="00526C42" w:rsidP="00A4222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(vii) The percentage of expedited</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prior authorization requests that were</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denied, aggregated for all items and</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services.</w:t>
            </w:r>
            <w:r w:rsidR="00A42226" w:rsidRPr="000F779A">
              <w:rPr>
                <w:rFonts w:asciiTheme="minorHAnsi" w:eastAsia="Calibri" w:hAnsiTheme="minorHAnsi" w:cstheme="minorHAnsi"/>
                <w:sz w:val="22"/>
                <w:szCs w:val="22"/>
              </w:rPr>
              <w:t xml:space="preserve"> </w:t>
            </w:r>
          </w:p>
          <w:p w14:paraId="6EC266F9" w14:textId="786CC7F7" w:rsidR="00A32D11" w:rsidRPr="000F779A" w:rsidRDefault="00526C42" w:rsidP="00A42226">
            <w:pPr>
              <w:spacing w:before="40" w:after="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(viii) The average and median time</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that elapsed between the submission of</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 request and a determination by the</w:t>
            </w:r>
            <w:r w:rsidR="00A42226" w:rsidRPr="000F779A">
              <w:rPr>
                <w:rFonts w:asciiTheme="minorHAnsi" w:eastAsia="Calibri" w:hAnsiTheme="minorHAnsi" w:cstheme="minorHAnsi"/>
                <w:sz w:val="22"/>
                <w:szCs w:val="22"/>
              </w:rPr>
              <w:t xml:space="preserve"> </w:t>
            </w:r>
            <w:r w:rsidR="00D20C60" w:rsidRPr="000F779A">
              <w:rPr>
                <w:rFonts w:asciiTheme="minorHAnsi" w:eastAsia="Calibri" w:hAnsiTheme="minorHAnsi" w:cstheme="minorHAnsi"/>
                <w:sz w:val="22"/>
                <w:szCs w:val="22"/>
              </w:rPr>
              <w:t>state</w:t>
            </w:r>
            <w:r w:rsidRPr="000F779A">
              <w:rPr>
                <w:rFonts w:asciiTheme="minorHAnsi" w:eastAsia="Calibri" w:hAnsiTheme="minorHAnsi" w:cstheme="minorHAnsi"/>
                <w:sz w:val="22"/>
                <w:szCs w:val="22"/>
              </w:rPr>
              <w:t xml:space="preserve"> Medicaid agency, for standard</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prior authorizations, aggregated for all</w:t>
            </w:r>
            <w:r w:rsidR="00A42226"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items and services.</w:t>
            </w:r>
            <w:r w:rsidR="00A42226" w:rsidRPr="000F779A">
              <w:rPr>
                <w:rFonts w:asciiTheme="minorHAnsi" w:eastAsia="Calibri" w:hAnsiTheme="minorHAnsi" w:cstheme="minorHAnsi"/>
                <w:sz w:val="22"/>
                <w:szCs w:val="22"/>
              </w:rPr>
              <w:t xml:space="preserve"> </w:t>
            </w:r>
          </w:p>
          <w:p w14:paraId="3E3ADE1B" w14:textId="3A2A464C" w:rsidR="00526C42" w:rsidRPr="000F779A" w:rsidRDefault="00526C42" w:rsidP="00DC5C5E">
            <w:pPr>
              <w:spacing w:before="40"/>
              <w:ind w:left="216"/>
              <w:rPr>
                <w:rFonts w:asciiTheme="minorHAnsi" w:eastAsia="Calibri" w:hAnsiTheme="minorHAnsi" w:cstheme="minorHAnsi"/>
                <w:sz w:val="22"/>
                <w:szCs w:val="22"/>
              </w:rPr>
            </w:pPr>
            <w:r w:rsidRPr="000F779A">
              <w:rPr>
                <w:rFonts w:asciiTheme="minorHAnsi" w:eastAsia="Calibri" w:hAnsiTheme="minorHAnsi" w:cstheme="minorHAnsi"/>
                <w:sz w:val="22"/>
                <w:szCs w:val="22"/>
              </w:rPr>
              <w:t>(ix) The average and median time that</w:t>
            </w:r>
            <w:r w:rsidR="00A32D1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elapsed between the submission of a</w:t>
            </w:r>
            <w:r w:rsidR="00A32D1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 xml:space="preserve">request and a decision by the </w:t>
            </w:r>
            <w:r w:rsidR="00D20C60" w:rsidRPr="000F779A">
              <w:rPr>
                <w:rFonts w:asciiTheme="minorHAnsi" w:eastAsia="Calibri" w:hAnsiTheme="minorHAnsi" w:cstheme="minorHAnsi"/>
                <w:sz w:val="22"/>
                <w:szCs w:val="22"/>
              </w:rPr>
              <w:t>state</w:t>
            </w:r>
            <w:r w:rsidR="00A32D1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Medicaid agency for expedited prior</w:t>
            </w:r>
            <w:r w:rsidR="00A32D1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authorizations, aggregated for all items</w:t>
            </w:r>
            <w:r w:rsidR="00A32D11" w:rsidRPr="000F779A">
              <w:rPr>
                <w:rFonts w:asciiTheme="minorHAnsi" w:eastAsia="Calibri" w:hAnsiTheme="minorHAnsi" w:cstheme="minorHAnsi"/>
                <w:sz w:val="22"/>
                <w:szCs w:val="22"/>
              </w:rPr>
              <w:t xml:space="preserve"> </w:t>
            </w:r>
            <w:r w:rsidRPr="000F779A">
              <w:rPr>
                <w:rFonts w:asciiTheme="minorHAnsi" w:eastAsia="Calibri" w:hAnsiTheme="minorHAnsi" w:cstheme="minorHAnsi"/>
                <w:sz w:val="22"/>
                <w:szCs w:val="22"/>
              </w:rPr>
              <w:t>and services.</w:t>
            </w:r>
          </w:p>
        </w:tc>
        <w:tc>
          <w:tcPr>
            <w:tcW w:w="4140" w:type="dxa"/>
            <w:tcBorders>
              <w:bottom w:val="single" w:sz="4" w:space="0" w:color="auto"/>
            </w:tcBorders>
            <w:shd w:val="clear" w:color="auto" w:fill="auto"/>
          </w:tcPr>
          <w:p w14:paraId="5BA4BA43" w14:textId="77777777" w:rsidR="00CF505B" w:rsidRPr="000F779A" w:rsidRDefault="00320D25" w:rsidP="00320D25">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lastRenderedPageBreak/>
              <w:t>Timeframes for prior authorization decisions under the Medicaid FFS program have been newly established with this final rule. The timeframe for standard authorization decisions can be extended by up to 14 calendar days if the beneficiary or provider requests an extension or if the state agency determines that additional information from the provider is needed to make a decision.</w:t>
            </w:r>
          </w:p>
          <w:p w14:paraId="33E3E658" w14:textId="77777777" w:rsidR="00976901" w:rsidRPr="000F779A" w:rsidRDefault="00976901" w:rsidP="00320D25">
            <w:pPr>
              <w:spacing w:before="40" w:after="40"/>
              <w:rPr>
                <w:rFonts w:asciiTheme="minorHAnsi" w:eastAsia="Calibri" w:hAnsiTheme="minorHAnsi" w:cstheme="minorHAnsi"/>
                <w:sz w:val="22"/>
                <w:szCs w:val="22"/>
              </w:rPr>
            </w:pPr>
          </w:p>
          <w:p w14:paraId="2D4E004E" w14:textId="11706BC3" w:rsidR="00AD1EF9" w:rsidRPr="000F779A" w:rsidRDefault="00AD1EF9" w:rsidP="00AD1EF9">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The Medicaid notice requirements are separate from and independent of, the new timeline for provider notice that is finalized at 42 CFR 440.230(e)(1).</w:t>
            </w:r>
          </w:p>
          <w:p w14:paraId="634BD4AB" w14:textId="2608F017" w:rsidR="00976901" w:rsidRPr="000F779A" w:rsidRDefault="00AD1EF9" w:rsidP="00AD1EF9">
            <w:pPr>
              <w:spacing w:before="40" w:after="40"/>
              <w:rPr>
                <w:rFonts w:asciiTheme="minorHAnsi" w:eastAsia="Calibri" w:hAnsiTheme="minorHAnsi" w:cstheme="minorHAnsi"/>
                <w:sz w:val="22"/>
                <w:szCs w:val="22"/>
              </w:rPr>
            </w:pPr>
            <w:r w:rsidRPr="000F779A">
              <w:rPr>
                <w:rFonts w:asciiTheme="minorHAnsi" w:eastAsia="Calibri" w:hAnsiTheme="minorHAnsi" w:cstheme="minorHAnsi"/>
                <w:sz w:val="22"/>
                <w:szCs w:val="22"/>
              </w:rPr>
              <w:t xml:space="preserve">To make it explicit that existing Medicaid beneficiary notice and fair hearing rights apply to Medicaid FFS prior authorization </w:t>
            </w:r>
            <w:r w:rsidRPr="000F779A">
              <w:rPr>
                <w:rFonts w:asciiTheme="minorHAnsi" w:eastAsia="Calibri" w:hAnsiTheme="minorHAnsi" w:cstheme="minorHAnsi"/>
                <w:sz w:val="22"/>
                <w:szCs w:val="22"/>
              </w:rPr>
              <w:lastRenderedPageBreak/>
              <w:t>decisions, we proposed several updates to the existing regulations at 42 CFR 431.201, 431.220, and 435.917, and a new 42 CFR 440.230(e)(2). The proposed changes are intended to further explain, but not change, Medicaid notice or fair hearing policy or operational requirements for states.</w:t>
            </w:r>
          </w:p>
        </w:tc>
      </w:tr>
    </w:tbl>
    <w:p w14:paraId="346050F9" w14:textId="27286728" w:rsidR="009E628A" w:rsidRPr="000F779A" w:rsidRDefault="009E628A">
      <w:pPr>
        <w:rPr>
          <w:rFonts w:asciiTheme="minorHAnsi" w:hAnsiTheme="minorHAnsi" w:cstheme="minorHAnsi"/>
          <w:sz w:val="22"/>
          <w:szCs w:val="22"/>
        </w:rPr>
      </w:pPr>
    </w:p>
    <w:p w14:paraId="57BB189C" w14:textId="77777777" w:rsidR="009E628A" w:rsidRPr="000F779A" w:rsidRDefault="009E628A" w:rsidP="009E628A">
      <w:pPr>
        <w:rPr>
          <w:rFonts w:asciiTheme="minorHAnsi" w:hAnsiTheme="minorHAnsi" w:cstheme="minorHAnsi"/>
          <w:sz w:val="22"/>
          <w:szCs w:val="22"/>
        </w:rPr>
      </w:pPr>
    </w:p>
    <w:sectPr w:rsidR="009E628A" w:rsidRPr="000F779A" w:rsidSect="00114507">
      <w:headerReference w:type="default" r:id="rId2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8447" w14:textId="77777777" w:rsidR="00DB4A7E" w:rsidRDefault="00DB4A7E" w:rsidP="00114507">
      <w:r>
        <w:separator/>
      </w:r>
    </w:p>
  </w:endnote>
  <w:endnote w:type="continuationSeparator" w:id="0">
    <w:p w14:paraId="23E817E8" w14:textId="77777777" w:rsidR="00DB4A7E" w:rsidRDefault="00DB4A7E" w:rsidP="00114507">
      <w:r>
        <w:continuationSeparator/>
      </w:r>
    </w:p>
  </w:endnote>
  <w:endnote w:type="continuationNotice" w:id="1">
    <w:p w14:paraId="3CAB729A" w14:textId="77777777" w:rsidR="00DB4A7E" w:rsidRDefault="00DB4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663353"/>
      <w:docPartObj>
        <w:docPartGallery w:val="Page Numbers (Bottom of Page)"/>
        <w:docPartUnique/>
      </w:docPartObj>
    </w:sdtPr>
    <w:sdtEndPr>
      <w:rPr>
        <w:noProof/>
        <w:sz w:val="18"/>
        <w:szCs w:val="18"/>
      </w:rPr>
    </w:sdtEndPr>
    <w:sdtContent>
      <w:p w14:paraId="4D41B70C" w14:textId="673B2CA9" w:rsidR="0074385E" w:rsidRPr="00120B3E" w:rsidRDefault="0074385E" w:rsidP="0074385E">
        <w:pPr>
          <w:pStyle w:val="Footer"/>
          <w:jc w:val="right"/>
          <w:rPr>
            <w:sz w:val="18"/>
            <w:szCs w:val="18"/>
          </w:rPr>
        </w:pPr>
        <w:r w:rsidRPr="00120B3E">
          <w:rPr>
            <w:sz w:val="18"/>
            <w:szCs w:val="18"/>
          </w:rPr>
          <w:fldChar w:fldCharType="begin"/>
        </w:r>
        <w:r w:rsidRPr="00120B3E">
          <w:rPr>
            <w:sz w:val="18"/>
            <w:szCs w:val="18"/>
          </w:rPr>
          <w:instrText xml:space="preserve"> PAGE   \* MERGEFORMAT </w:instrText>
        </w:r>
        <w:r w:rsidRPr="00120B3E">
          <w:rPr>
            <w:sz w:val="18"/>
            <w:szCs w:val="18"/>
          </w:rPr>
          <w:fldChar w:fldCharType="separate"/>
        </w:r>
        <w:r w:rsidRPr="00120B3E">
          <w:rPr>
            <w:noProof/>
            <w:sz w:val="18"/>
            <w:szCs w:val="18"/>
          </w:rPr>
          <w:t>2</w:t>
        </w:r>
        <w:r w:rsidRPr="00120B3E">
          <w:rPr>
            <w:noProof/>
            <w:sz w:val="18"/>
            <w:szCs w:val="18"/>
          </w:rPr>
          <w:fldChar w:fldCharType="end"/>
        </w:r>
      </w:p>
    </w:sdtContent>
  </w:sdt>
  <w:p w14:paraId="6EF9150C" w14:textId="77777777" w:rsidR="0074385E" w:rsidRDefault="00743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4F52" w14:textId="77777777" w:rsidR="00DB4A7E" w:rsidRDefault="00DB4A7E" w:rsidP="00114507">
      <w:r>
        <w:separator/>
      </w:r>
    </w:p>
  </w:footnote>
  <w:footnote w:type="continuationSeparator" w:id="0">
    <w:p w14:paraId="784F36B7" w14:textId="77777777" w:rsidR="00DB4A7E" w:rsidRDefault="00DB4A7E" w:rsidP="00114507">
      <w:r>
        <w:continuationSeparator/>
      </w:r>
    </w:p>
  </w:footnote>
  <w:footnote w:type="continuationNotice" w:id="1">
    <w:p w14:paraId="31588B11" w14:textId="77777777" w:rsidR="00DB4A7E" w:rsidRDefault="00DB4A7E"/>
  </w:footnote>
  <w:footnote w:id="2">
    <w:p w14:paraId="01D45F6A" w14:textId="47D7C0E0" w:rsidR="004F06B1" w:rsidRDefault="004F06B1" w:rsidP="00F6409A">
      <w:pPr>
        <w:pStyle w:val="FootnoteText"/>
      </w:pPr>
      <w:r>
        <w:rPr>
          <w:rStyle w:val="FootnoteReference"/>
        </w:rPr>
        <w:footnoteRef/>
      </w:r>
      <w:r>
        <w:t xml:space="preserve"> </w:t>
      </w:r>
      <w:r w:rsidR="008E6EDC">
        <w:t xml:space="preserve">Although this rule impacts multiple CMS programs, </w:t>
      </w:r>
      <w:r w:rsidR="00861750">
        <w:t>the</w:t>
      </w:r>
      <w:r w:rsidR="008E6EDC">
        <w:t xml:space="preserve"> analysis </w:t>
      </w:r>
      <w:r w:rsidR="00861750">
        <w:t xml:space="preserve">in this </w:t>
      </w:r>
      <w:r w:rsidR="008E6EDC">
        <w:t xml:space="preserve">document includes </w:t>
      </w:r>
      <w:r w:rsidR="00296E65">
        <w:t xml:space="preserve">primarily </w:t>
      </w:r>
      <w:r w:rsidR="008E6EDC">
        <w:t xml:space="preserve">information regarding state Medicaid </w:t>
      </w:r>
      <w:r w:rsidR="009F2636">
        <w:t>(42 CFR Parts</w:t>
      </w:r>
      <w:r w:rsidR="00FD3A02">
        <w:t xml:space="preserve"> 431, </w:t>
      </w:r>
      <w:r w:rsidR="00B1407E">
        <w:t xml:space="preserve">435, </w:t>
      </w:r>
      <w:r w:rsidR="00FD3A02">
        <w:t>438</w:t>
      </w:r>
      <w:r w:rsidR="00685DCD">
        <w:t>,</w:t>
      </w:r>
      <w:r w:rsidR="00685DCD" w:rsidRPr="00685DCD">
        <w:t xml:space="preserve"> </w:t>
      </w:r>
      <w:r w:rsidR="00685DCD">
        <w:t>and 440</w:t>
      </w:r>
      <w:r w:rsidR="00FD3A02">
        <w:t xml:space="preserve">) </w:t>
      </w:r>
      <w:r w:rsidR="008E6EDC">
        <w:t>and CHI</w:t>
      </w:r>
      <w:r w:rsidR="00861750">
        <w:t>P</w:t>
      </w:r>
      <w:r w:rsidR="008E6EDC">
        <w:t xml:space="preserve"> </w:t>
      </w:r>
      <w:r w:rsidR="00FD3A02">
        <w:t xml:space="preserve">(42 CFR Part 457) </w:t>
      </w:r>
      <w:r w:rsidR="008E6EDC">
        <w:t>programs.</w:t>
      </w:r>
      <w:r w:rsidR="00296E65">
        <w:t xml:space="preserve"> In addition, given that </w:t>
      </w:r>
      <w:r w:rsidR="00F6409A" w:rsidRPr="00F6409A">
        <w:t>dual eligible</w:t>
      </w:r>
      <w:r w:rsidR="00F6409A">
        <w:t xml:space="preserve"> </w:t>
      </w:r>
      <w:r w:rsidR="00F6409A" w:rsidRPr="00F6409A">
        <w:t>special needs plan</w:t>
      </w:r>
      <w:r w:rsidR="00AC5665">
        <w:t>s</w:t>
      </w:r>
      <w:r w:rsidR="00F6409A" w:rsidRPr="00F6409A">
        <w:t xml:space="preserve"> (D–SNP</w:t>
      </w:r>
      <w:r w:rsidR="00AC5665">
        <w:t xml:space="preserve">) </w:t>
      </w:r>
      <w:r w:rsidR="00296E65">
        <w:t xml:space="preserve">plans are a type of Medicare </w:t>
      </w:r>
      <w:r w:rsidR="00AC5665">
        <w:t>A</w:t>
      </w:r>
      <w:r w:rsidR="00296E65">
        <w:t xml:space="preserve">dvantage </w:t>
      </w:r>
      <w:r w:rsidR="00AC5665">
        <w:t xml:space="preserve">(MA) </w:t>
      </w:r>
      <w:r w:rsidR="00296E65">
        <w:t>plans</w:t>
      </w:r>
      <w:r w:rsidR="00AC5665">
        <w:t>, changes to 42 CFR Part 422 are also included in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E9E8" w14:textId="5AAC2AF7" w:rsidR="00114507" w:rsidRDefault="00114507" w:rsidP="006D1B78">
    <w:pPr>
      <w:spacing w:before="120"/>
      <w:jc w:val="center"/>
      <w:rPr>
        <w:rFonts w:ascii="Arial" w:hAnsi="Arial" w:cs="Arial"/>
        <w:b/>
        <w:bCs/>
        <w:noProof/>
        <w:color w:val="003366"/>
      </w:rPr>
    </w:pPr>
    <w:r w:rsidRPr="00114507">
      <w:rPr>
        <w:rFonts w:ascii="Arial" w:hAnsi="Arial" w:cs="Arial"/>
        <w:b/>
        <w:bCs/>
        <w:noProof/>
        <w:color w:val="003366"/>
      </w:rPr>
      <w:drawing>
        <wp:anchor distT="0" distB="0" distL="114300" distR="114300" simplePos="0" relativeHeight="251658240" behindDoc="1" locked="0" layoutInCell="1" allowOverlap="1" wp14:anchorId="6EEA2644" wp14:editId="4985F5FF">
          <wp:simplePos x="0" y="0"/>
          <wp:positionH relativeFrom="column">
            <wp:posOffset>-311150</wp:posOffset>
          </wp:positionH>
          <wp:positionV relativeFrom="paragraph">
            <wp:posOffset>81915</wp:posOffset>
          </wp:positionV>
          <wp:extent cx="1511300" cy="546100"/>
          <wp:effectExtent l="0" t="0" r="0" b="6350"/>
          <wp:wrapTight wrapText="bothSides">
            <wp:wrapPolygon edited="0">
              <wp:start x="2723" y="0"/>
              <wp:lineTo x="1089" y="753"/>
              <wp:lineTo x="0" y="5274"/>
              <wp:lineTo x="0" y="19591"/>
              <wp:lineTo x="5173" y="21098"/>
              <wp:lineTo x="10891" y="21098"/>
              <wp:lineTo x="21237" y="18837"/>
              <wp:lineTo x="21237" y="5274"/>
              <wp:lineTo x="8440" y="0"/>
              <wp:lineTo x="27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0080E" w14:textId="5B70B3B7" w:rsidR="001F3E60" w:rsidRDefault="00013B70" w:rsidP="004578C3">
    <w:pPr>
      <w:jc w:val="center"/>
      <w:rPr>
        <w:rFonts w:ascii="Arial" w:hAnsi="Arial" w:cs="Arial"/>
        <w:b/>
        <w:bCs/>
        <w:noProof/>
        <w:color w:val="003366"/>
        <w:sz w:val="22"/>
        <w:szCs w:val="22"/>
      </w:rPr>
    </w:pPr>
    <w:r>
      <w:rPr>
        <w:rFonts w:ascii="Arial" w:hAnsi="Arial" w:cs="Arial"/>
        <w:b/>
        <w:bCs/>
        <w:noProof/>
        <w:color w:val="003366"/>
        <w:sz w:val="22"/>
        <w:szCs w:val="22"/>
      </w:rPr>
      <w:t>Interoperability and Prior Authorization</w:t>
    </w:r>
    <w:r w:rsidR="007A5B8A">
      <w:rPr>
        <w:rFonts w:ascii="Arial" w:hAnsi="Arial" w:cs="Arial"/>
        <w:b/>
        <w:bCs/>
        <w:noProof/>
        <w:color w:val="003366"/>
        <w:sz w:val="22"/>
        <w:szCs w:val="22"/>
      </w:rPr>
      <w:t xml:space="preserve"> – Final Rule</w:t>
    </w:r>
  </w:p>
  <w:p w14:paraId="6DDEEF32" w14:textId="61CC5B1E" w:rsidR="00114507" w:rsidRDefault="000F779A" w:rsidP="00E61B59">
    <w:pPr>
      <w:jc w:val="center"/>
      <w:rPr>
        <w:rStyle w:val="Hyperlink"/>
        <w:rFonts w:ascii="Arial" w:hAnsi="Arial" w:cs="Arial"/>
        <w:b/>
        <w:bCs/>
        <w:noProof/>
        <w:sz w:val="22"/>
        <w:szCs w:val="22"/>
      </w:rPr>
    </w:pPr>
    <w:hyperlink r:id="rId2" w:history="1">
      <w:r w:rsidR="00394EB3" w:rsidRPr="00584A02">
        <w:rPr>
          <w:rStyle w:val="Hyperlink"/>
          <w:rFonts w:ascii="Arial" w:hAnsi="Arial" w:cs="Arial"/>
          <w:b/>
          <w:bCs/>
          <w:noProof/>
          <w:sz w:val="22"/>
          <w:szCs w:val="22"/>
        </w:rPr>
        <w:t>Federal Register / Vol. 89, No. 27 / Thursday, February 8, 2024</w:t>
      </w:r>
    </w:hyperlink>
  </w:p>
  <w:p w14:paraId="5CC119DF" w14:textId="77777777" w:rsidR="00B37DBF" w:rsidRPr="00114507" w:rsidRDefault="00B37DBF" w:rsidP="00E61B59">
    <w:pPr>
      <w:jc w:val="center"/>
      <w:rPr>
        <w:rFonts w:ascii="Arial" w:hAnsi="Arial" w:cs="Arial"/>
        <w:b/>
        <w:bCs/>
        <w:noProof/>
        <w:color w:val="003366"/>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08" w:hanging="297"/>
      </w:pPr>
      <w:rPr>
        <w:rFonts w:ascii="Times New Roman" w:hAnsi="Times New Roman" w:cs="Times New Roman"/>
        <w:b w:val="0"/>
        <w:bCs w:val="0"/>
        <w:i w:val="0"/>
        <w:iCs w:val="0"/>
        <w:spacing w:val="0"/>
        <w:w w:val="106"/>
        <w:position w:val="-4"/>
        <w:sz w:val="29"/>
        <w:szCs w:val="29"/>
      </w:rPr>
    </w:lvl>
    <w:lvl w:ilvl="1">
      <w:numFmt w:val="bullet"/>
      <w:lvlText w:val="•"/>
      <w:lvlJc w:val="left"/>
      <w:pPr>
        <w:ind w:left="587" w:hanging="297"/>
      </w:pPr>
    </w:lvl>
    <w:lvl w:ilvl="2">
      <w:numFmt w:val="bullet"/>
      <w:lvlText w:val="•"/>
      <w:lvlJc w:val="left"/>
      <w:pPr>
        <w:ind w:left="775" w:hanging="297"/>
      </w:pPr>
    </w:lvl>
    <w:lvl w:ilvl="3">
      <w:numFmt w:val="bullet"/>
      <w:lvlText w:val="•"/>
      <w:lvlJc w:val="left"/>
      <w:pPr>
        <w:ind w:left="963" w:hanging="297"/>
      </w:pPr>
    </w:lvl>
    <w:lvl w:ilvl="4">
      <w:numFmt w:val="bullet"/>
      <w:lvlText w:val="•"/>
      <w:lvlJc w:val="left"/>
      <w:pPr>
        <w:ind w:left="1151" w:hanging="297"/>
      </w:pPr>
    </w:lvl>
    <w:lvl w:ilvl="5">
      <w:numFmt w:val="bullet"/>
      <w:lvlText w:val="•"/>
      <w:lvlJc w:val="left"/>
      <w:pPr>
        <w:ind w:left="1339" w:hanging="297"/>
      </w:pPr>
    </w:lvl>
    <w:lvl w:ilvl="6">
      <w:numFmt w:val="bullet"/>
      <w:lvlText w:val="•"/>
      <w:lvlJc w:val="left"/>
      <w:pPr>
        <w:ind w:left="1527" w:hanging="297"/>
      </w:pPr>
    </w:lvl>
    <w:lvl w:ilvl="7">
      <w:numFmt w:val="bullet"/>
      <w:lvlText w:val="•"/>
      <w:lvlJc w:val="left"/>
      <w:pPr>
        <w:ind w:left="1715" w:hanging="297"/>
      </w:pPr>
    </w:lvl>
    <w:lvl w:ilvl="8">
      <w:numFmt w:val="bullet"/>
      <w:lvlText w:val="•"/>
      <w:lvlJc w:val="left"/>
      <w:pPr>
        <w:ind w:left="1903" w:hanging="297"/>
      </w:pPr>
    </w:lvl>
  </w:abstractNum>
  <w:abstractNum w:abstractNumId="1" w15:restartNumberingAfterBreak="0">
    <w:nsid w:val="00000403"/>
    <w:multiLevelType w:val="multilevel"/>
    <w:tmpl w:val="FFFFFFFF"/>
    <w:lvl w:ilvl="0">
      <w:numFmt w:val="bullet"/>
      <w:lvlText w:val="•"/>
      <w:lvlJc w:val="left"/>
      <w:pPr>
        <w:ind w:left="404" w:hanging="297"/>
      </w:pPr>
      <w:rPr>
        <w:rFonts w:ascii="Times New Roman" w:hAnsi="Times New Roman" w:cs="Times New Roman"/>
        <w:b w:val="0"/>
        <w:bCs w:val="0"/>
        <w:i w:val="0"/>
        <w:iCs w:val="0"/>
        <w:spacing w:val="0"/>
        <w:w w:val="106"/>
        <w:position w:val="-4"/>
        <w:sz w:val="29"/>
        <w:szCs w:val="29"/>
      </w:rPr>
    </w:lvl>
    <w:lvl w:ilvl="1">
      <w:numFmt w:val="bullet"/>
      <w:lvlText w:val="•"/>
      <w:lvlJc w:val="left"/>
      <w:pPr>
        <w:ind w:left="668" w:hanging="297"/>
      </w:pPr>
    </w:lvl>
    <w:lvl w:ilvl="2">
      <w:numFmt w:val="bullet"/>
      <w:lvlText w:val="•"/>
      <w:lvlJc w:val="left"/>
      <w:pPr>
        <w:ind w:left="937" w:hanging="297"/>
      </w:pPr>
    </w:lvl>
    <w:lvl w:ilvl="3">
      <w:numFmt w:val="bullet"/>
      <w:lvlText w:val="•"/>
      <w:lvlJc w:val="left"/>
      <w:pPr>
        <w:ind w:left="1206" w:hanging="297"/>
      </w:pPr>
    </w:lvl>
    <w:lvl w:ilvl="4">
      <w:numFmt w:val="bullet"/>
      <w:lvlText w:val="•"/>
      <w:lvlJc w:val="left"/>
      <w:pPr>
        <w:ind w:left="1474" w:hanging="297"/>
      </w:pPr>
    </w:lvl>
    <w:lvl w:ilvl="5">
      <w:numFmt w:val="bullet"/>
      <w:lvlText w:val="•"/>
      <w:lvlJc w:val="left"/>
      <w:pPr>
        <w:ind w:left="1743" w:hanging="297"/>
      </w:pPr>
    </w:lvl>
    <w:lvl w:ilvl="6">
      <w:numFmt w:val="bullet"/>
      <w:lvlText w:val="•"/>
      <w:lvlJc w:val="left"/>
      <w:pPr>
        <w:ind w:left="2012" w:hanging="297"/>
      </w:pPr>
    </w:lvl>
    <w:lvl w:ilvl="7">
      <w:numFmt w:val="bullet"/>
      <w:lvlText w:val="•"/>
      <w:lvlJc w:val="left"/>
      <w:pPr>
        <w:ind w:left="2280" w:hanging="297"/>
      </w:pPr>
    </w:lvl>
    <w:lvl w:ilvl="8">
      <w:numFmt w:val="bullet"/>
      <w:lvlText w:val="•"/>
      <w:lvlJc w:val="left"/>
      <w:pPr>
        <w:ind w:left="2549" w:hanging="297"/>
      </w:pPr>
    </w:lvl>
  </w:abstractNum>
  <w:abstractNum w:abstractNumId="2" w15:restartNumberingAfterBreak="0">
    <w:nsid w:val="00000404"/>
    <w:multiLevelType w:val="multilevel"/>
    <w:tmpl w:val="FFFFFFFF"/>
    <w:lvl w:ilvl="0">
      <w:numFmt w:val="bullet"/>
      <w:lvlText w:val="•"/>
      <w:lvlJc w:val="left"/>
      <w:pPr>
        <w:ind w:left="403" w:hanging="298"/>
      </w:pPr>
      <w:rPr>
        <w:rFonts w:ascii="Times New Roman" w:hAnsi="Times New Roman" w:cs="Times New Roman"/>
        <w:b w:val="0"/>
        <w:bCs w:val="0"/>
        <w:i w:val="0"/>
        <w:iCs w:val="0"/>
        <w:spacing w:val="0"/>
        <w:w w:val="106"/>
        <w:position w:val="-4"/>
        <w:sz w:val="29"/>
        <w:szCs w:val="29"/>
      </w:rPr>
    </w:lvl>
    <w:lvl w:ilvl="1">
      <w:numFmt w:val="bullet"/>
      <w:lvlText w:val="•"/>
      <w:lvlJc w:val="left"/>
      <w:pPr>
        <w:ind w:left="568" w:hanging="298"/>
      </w:pPr>
    </w:lvl>
    <w:lvl w:ilvl="2">
      <w:numFmt w:val="bullet"/>
      <w:lvlText w:val="•"/>
      <w:lvlJc w:val="left"/>
      <w:pPr>
        <w:ind w:left="736" w:hanging="298"/>
      </w:pPr>
    </w:lvl>
    <w:lvl w:ilvl="3">
      <w:numFmt w:val="bullet"/>
      <w:lvlText w:val="•"/>
      <w:lvlJc w:val="left"/>
      <w:pPr>
        <w:ind w:left="904" w:hanging="298"/>
      </w:pPr>
    </w:lvl>
    <w:lvl w:ilvl="4">
      <w:numFmt w:val="bullet"/>
      <w:lvlText w:val="•"/>
      <w:lvlJc w:val="left"/>
      <w:pPr>
        <w:ind w:left="1072" w:hanging="298"/>
      </w:pPr>
    </w:lvl>
    <w:lvl w:ilvl="5">
      <w:numFmt w:val="bullet"/>
      <w:lvlText w:val="•"/>
      <w:lvlJc w:val="left"/>
      <w:pPr>
        <w:ind w:left="1241" w:hanging="298"/>
      </w:pPr>
    </w:lvl>
    <w:lvl w:ilvl="6">
      <w:numFmt w:val="bullet"/>
      <w:lvlText w:val="•"/>
      <w:lvlJc w:val="left"/>
      <w:pPr>
        <w:ind w:left="1409" w:hanging="298"/>
      </w:pPr>
    </w:lvl>
    <w:lvl w:ilvl="7">
      <w:numFmt w:val="bullet"/>
      <w:lvlText w:val="•"/>
      <w:lvlJc w:val="left"/>
      <w:pPr>
        <w:ind w:left="1577" w:hanging="298"/>
      </w:pPr>
    </w:lvl>
    <w:lvl w:ilvl="8">
      <w:numFmt w:val="bullet"/>
      <w:lvlText w:val="•"/>
      <w:lvlJc w:val="left"/>
      <w:pPr>
        <w:ind w:left="1745" w:hanging="298"/>
      </w:pPr>
    </w:lvl>
  </w:abstractNum>
  <w:abstractNum w:abstractNumId="3" w15:restartNumberingAfterBreak="0">
    <w:nsid w:val="00000405"/>
    <w:multiLevelType w:val="multilevel"/>
    <w:tmpl w:val="FFFFFFFF"/>
    <w:lvl w:ilvl="0">
      <w:numFmt w:val="bullet"/>
      <w:lvlText w:val="•"/>
      <w:lvlJc w:val="left"/>
      <w:pPr>
        <w:ind w:left="413" w:hanging="307"/>
      </w:pPr>
      <w:rPr>
        <w:rFonts w:ascii="Times New Roman" w:hAnsi="Times New Roman" w:cs="Times New Roman"/>
        <w:b w:val="0"/>
        <w:bCs w:val="0"/>
        <w:i w:val="0"/>
        <w:iCs w:val="0"/>
        <w:spacing w:val="0"/>
        <w:w w:val="106"/>
        <w:position w:val="-4"/>
        <w:sz w:val="29"/>
        <w:szCs w:val="29"/>
      </w:rPr>
    </w:lvl>
    <w:lvl w:ilvl="1">
      <w:numFmt w:val="bullet"/>
      <w:lvlText w:val="•"/>
      <w:lvlJc w:val="left"/>
      <w:pPr>
        <w:ind w:left="605" w:hanging="307"/>
      </w:pPr>
    </w:lvl>
    <w:lvl w:ilvl="2">
      <w:numFmt w:val="bullet"/>
      <w:lvlText w:val="•"/>
      <w:lvlJc w:val="left"/>
      <w:pPr>
        <w:ind w:left="791" w:hanging="307"/>
      </w:pPr>
    </w:lvl>
    <w:lvl w:ilvl="3">
      <w:numFmt w:val="bullet"/>
      <w:lvlText w:val="•"/>
      <w:lvlJc w:val="left"/>
      <w:pPr>
        <w:ind w:left="977" w:hanging="307"/>
      </w:pPr>
    </w:lvl>
    <w:lvl w:ilvl="4">
      <w:numFmt w:val="bullet"/>
      <w:lvlText w:val="•"/>
      <w:lvlJc w:val="left"/>
      <w:pPr>
        <w:ind w:left="1163" w:hanging="307"/>
      </w:pPr>
    </w:lvl>
    <w:lvl w:ilvl="5">
      <w:numFmt w:val="bullet"/>
      <w:lvlText w:val="•"/>
      <w:lvlJc w:val="left"/>
      <w:pPr>
        <w:ind w:left="1349" w:hanging="307"/>
      </w:pPr>
    </w:lvl>
    <w:lvl w:ilvl="6">
      <w:numFmt w:val="bullet"/>
      <w:lvlText w:val="•"/>
      <w:lvlJc w:val="left"/>
      <w:pPr>
        <w:ind w:left="1535" w:hanging="307"/>
      </w:pPr>
    </w:lvl>
    <w:lvl w:ilvl="7">
      <w:numFmt w:val="bullet"/>
      <w:lvlText w:val="•"/>
      <w:lvlJc w:val="left"/>
      <w:pPr>
        <w:ind w:left="1721" w:hanging="307"/>
      </w:pPr>
    </w:lvl>
    <w:lvl w:ilvl="8">
      <w:numFmt w:val="bullet"/>
      <w:lvlText w:val="•"/>
      <w:lvlJc w:val="left"/>
      <w:pPr>
        <w:ind w:left="1907" w:hanging="307"/>
      </w:pPr>
    </w:lvl>
  </w:abstractNum>
  <w:abstractNum w:abstractNumId="4" w15:restartNumberingAfterBreak="0">
    <w:nsid w:val="00000406"/>
    <w:multiLevelType w:val="multilevel"/>
    <w:tmpl w:val="FFFFFFFF"/>
    <w:lvl w:ilvl="0">
      <w:numFmt w:val="bullet"/>
      <w:lvlText w:val="•"/>
      <w:lvlJc w:val="left"/>
      <w:pPr>
        <w:ind w:left="404" w:hanging="307"/>
      </w:pPr>
      <w:rPr>
        <w:rFonts w:ascii="Times New Roman" w:hAnsi="Times New Roman" w:cs="Times New Roman"/>
        <w:b w:val="0"/>
        <w:bCs w:val="0"/>
        <w:i w:val="0"/>
        <w:iCs w:val="0"/>
        <w:spacing w:val="0"/>
        <w:w w:val="106"/>
        <w:position w:val="-4"/>
        <w:sz w:val="29"/>
        <w:szCs w:val="29"/>
      </w:rPr>
    </w:lvl>
    <w:lvl w:ilvl="1">
      <w:numFmt w:val="bullet"/>
      <w:lvlText w:val="•"/>
      <w:lvlJc w:val="left"/>
      <w:pPr>
        <w:ind w:left="668" w:hanging="307"/>
      </w:pPr>
    </w:lvl>
    <w:lvl w:ilvl="2">
      <w:numFmt w:val="bullet"/>
      <w:lvlText w:val="•"/>
      <w:lvlJc w:val="left"/>
      <w:pPr>
        <w:ind w:left="937" w:hanging="307"/>
      </w:pPr>
    </w:lvl>
    <w:lvl w:ilvl="3">
      <w:numFmt w:val="bullet"/>
      <w:lvlText w:val="•"/>
      <w:lvlJc w:val="left"/>
      <w:pPr>
        <w:ind w:left="1206" w:hanging="307"/>
      </w:pPr>
    </w:lvl>
    <w:lvl w:ilvl="4">
      <w:numFmt w:val="bullet"/>
      <w:lvlText w:val="•"/>
      <w:lvlJc w:val="left"/>
      <w:pPr>
        <w:ind w:left="1474" w:hanging="307"/>
      </w:pPr>
    </w:lvl>
    <w:lvl w:ilvl="5">
      <w:numFmt w:val="bullet"/>
      <w:lvlText w:val="•"/>
      <w:lvlJc w:val="left"/>
      <w:pPr>
        <w:ind w:left="1743" w:hanging="307"/>
      </w:pPr>
    </w:lvl>
    <w:lvl w:ilvl="6">
      <w:numFmt w:val="bullet"/>
      <w:lvlText w:val="•"/>
      <w:lvlJc w:val="left"/>
      <w:pPr>
        <w:ind w:left="2012" w:hanging="307"/>
      </w:pPr>
    </w:lvl>
    <w:lvl w:ilvl="7">
      <w:numFmt w:val="bullet"/>
      <w:lvlText w:val="•"/>
      <w:lvlJc w:val="left"/>
      <w:pPr>
        <w:ind w:left="2280" w:hanging="307"/>
      </w:pPr>
    </w:lvl>
    <w:lvl w:ilvl="8">
      <w:numFmt w:val="bullet"/>
      <w:lvlText w:val="•"/>
      <w:lvlJc w:val="left"/>
      <w:pPr>
        <w:ind w:left="2549" w:hanging="307"/>
      </w:pPr>
    </w:lvl>
  </w:abstractNum>
  <w:abstractNum w:abstractNumId="5" w15:restartNumberingAfterBreak="0">
    <w:nsid w:val="00000407"/>
    <w:multiLevelType w:val="multilevel"/>
    <w:tmpl w:val="FFFFFFFF"/>
    <w:lvl w:ilvl="0">
      <w:numFmt w:val="bullet"/>
      <w:lvlText w:val="•"/>
      <w:lvlJc w:val="left"/>
      <w:pPr>
        <w:ind w:left="417" w:hanging="298"/>
      </w:pPr>
      <w:rPr>
        <w:rFonts w:ascii="Times New Roman" w:hAnsi="Times New Roman" w:cs="Times New Roman"/>
        <w:b w:val="0"/>
        <w:bCs w:val="0"/>
        <w:i w:val="0"/>
        <w:iCs w:val="0"/>
        <w:spacing w:val="0"/>
        <w:w w:val="106"/>
        <w:position w:val="-4"/>
        <w:sz w:val="29"/>
        <w:szCs w:val="29"/>
      </w:rPr>
    </w:lvl>
    <w:lvl w:ilvl="1">
      <w:numFmt w:val="bullet"/>
      <w:lvlText w:val="•"/>
      <w:lvlJc w:val="left"/>
      <w:pPr>
        <w:ind w:left="586" w:hanging="298"/>
      </w:pPr>
    </w:lvl>
    <w:lvl w:ilvl="2">
      <w:numFmt w:val="bullet"/>
      <w:lvlText w:val="•"/>
      <w:lvlJc w:val="left"/>
      <w:pPr>
        <w:ind w:left="752" w:hanging="298"/>
      </w:pPr>
    </w:lvl>
    <w:lvl w:ilvl="3">
      <w:numFmt w:val="bullet"/>
      <w:lvlText w:val="•"/>
      <w:lvlJc w:val="left"/>
      <w:pPr>
        <w:ind w:left="918" w:hanging="298"/>
      </w:pPr>
    </w:lvl>
    <w:lvl w:ilvl="4">
      <w:numFmt w:val="bullet"/>
      <w:lvlText w:val="•"/>
      <w:lvlJc w:val="left"/>
      <w:pPr>
        <w:ind w:left="1084" w:hanging="298"/>
      </w:pPr>
    </w:lvl>
    <w:lvl w:ilvl="5">
      <w:numFmt w:val="bullet"/>
      <w:lvlText w:val="•"/>
      <w:lvlJc w:val="left"/>
      <w:pPr>
        <w:ind w:left="1251" w:hanging="298"/>
      </w:pPr>
    </w:lvl>
    <w:lvl w:ilvl="6">
      <w:numFmt w:val="bullet"/>
      <w:lvlText w:val="•"/>
      <w:lvlJc w:val="left"/>
      <w:pPr>
        <w:ind w:left="1417" w:hanging="298"/>
      </w:pPr>
    </w:lvl>
    <w:lvl w:ilvl="7">
      <w:numFmt w:val="bullet"/>
      <w:lvlText w:val="•"/>
      <w:lvlJc w:val="left"/>
      <w:pPr>
        <w:ind w:left="1583" w:hanging="298"/>
      </w:pPr>
    </w:lvl>
    <w:lvl w:ilvl="8">
      <w:numFmt w:val="bullet"/>
      <w:lvlText w:val="•"/>
      <w:lvlJc w:val="left"/>
      <w:pPr>
        <w:ind w:left="1749" w:hanging="298"/>
      </w:pPr>
    </w:lvl>
  </w:abstractNum>
  <w:abstractNum w:abstractNumId="6" w15:restartNumberingAfterBreak="0">
    <w:nsid w:val="00000408"/>
    <w:multiLevelType w:val="multilevel"/>
    <w:tmpl w:val="FFFFFFFF"/>
    <w:lvl w:ilvl="0">
      <w:numFmt w:val="bullet"/>
      <w:lvlText w:val="•"/>
      <w:lvlJc w:val="left"/>
      <w:pPr>
        <w:ind w:left="408" w:hanging="297"/>
      </w:pPr>
      <w:rPr>
        <w:rFonts w:ascii="Times New Roman" w:hAnsi="Times New Roman" w:cs="Times New Roman"/>
        <w:b w:val="0"/>
        <w:bCs w:val="0"/>
        <w:i w:val="0"/>
        <w:iCs w:val="0"/>
        <w:spacing w:val="0"/>
        <w:w w:val="106"/>
        <w:position w:val="-4"/>
        <w:sz w:val="29"/>
        <w:szCs w:val="29"/>
      </w:rPr>
    </w:lvl>
    <w:lvl w:ilvl="1">
      <w:numFmt w:val="bullet"/>
      <w:lvlText w:val="•"/>
      <w:lvlJc w:val="left"/>
      <w:pPr>
        <w:ind w:left="587" w:hanging="297"/>
      </w:pPr>
    </w:lvl>
    <w:lvl w:ilvl="2">
      <w:numFmt w:val="bullet"/>
      <w:lvlText w:val="•"/>
      <w:lvlJc w:val="left"/>
      <w:pPr>
        <w:ind w:left="775" w:hanging="297"/>
      </w:pPr>
    </w:lvl>
    <w:lvl w:ilvl="3">
      <w:numFmt w:val="bullet"/>
      <w:lvlText w:val="•"/>
      <w:lvlJc w:val="left"/>
      <w:pPr>
        <w:ind w:left="963" w:hanging="297"/>
      </w:pPr>
    </w:lvl>
    <w:lvl w:ilvl="4">
      <w:numFmt w:val="bullet"/>
      <w:lvlText w:val="•"/>
      <w:lvlJc w:val="left"/>
      <w:pPr>
        <w:ind w:left="1151" w:hanging="297"/>
      </w:pPr>
    </w:lvl>
    <w:lvl w:ilvl="5">
      <w:numFmt w:val="bullet"/>
      <w:lvlText w:val="•"/>
      <w:lvlJc w:val="left"/>
      <w:pPr>
        <w:ind w:left="1339" w:hanging="297"/>
      </w:pPr>
    </w:lvl>
    <w:lvl w:ilvl="6">
      <w:numFmt w:val="bullet"/>
      <w:lvlText w:val="•"/>
      <w:lvlJc w:val="left"/>
      <w:pPr>
        <w:ind w:left="1527" w:hanging="297"/>
      </w:pPr>
    </w:lvl>
    <w:lvl w:ilvl="7">
      <w:numFmt w:val="bullet"/>
      <w:lvlText w:val="•"/>
      <w:lvlJc w:val="left"/>
      <w:pPr>
        <w:ind w:left="1715" w:hanging="297"/>
      </w:pPr>
    </w:lvl>
    <w:lvl w:ilvl="8">
      <w:numFmt w:val="bullet"/>
      <w:lvlText w:val="•"/>
      <w:lvlJc w:val="left"/>
      <w:pPr>
        <w:ind w:left="1903" w:hanging="297"/>
      </w:pPr>
    </w:lvl>
  </w:abstractNum>
  <w:abstractNum w:abstractNumId="7" w15:restartNumberingAfterBreak="0">
    <w:nsid w:val="00000409"/>
    <w:multiLevelType w:val="multilevel"/>
    <w:tmpl w:val="FFFFFFFF"/>
    <w:lvl w:ilvl="0">
      <w:numFmt w:val="bullet"/>
      <w:lvlText w:val="•"/>
      <w:lvlJc w:val="left"/>
      <w:pPr>
        <w:ind w:left="404" w:hanging="297"/>
      </w:pPr>
      <w:rPr>
        <w:rFonts w:ascii="Times New Roman" w:hAnsi="Times New Roman" w:cs="Times New Roman"/>
        <w:b w:val="0"/>
        <w:bCs w:val="0"/>
        <w:i w:val="0"/>
        <w:iCs w:val="0"/>
        <w:spacing w:val="0"/>
        <w:w w:val="106"/>
        <w:position w:val="-4"/>
        <w:sz w:val="29"/>
        <w:szCs w:val="29"/>
      </w:rPr>
    </w:lvl>
    <w:lvl w:ilvl="1">
      <w:numFmt w:val="bullet"/>
      <w:lvlText w:val="•"/>
      <w:lvlJc w:val="left"/>
      <w:pPr>
        <w:ind w:left="668" w:hanging="297"/>
      </w:pPr>
    </w:lvl>
    <w:lvl w:ilvl="2">
      <w:numFmt w:val="bullet"/>
      <w:lvlText w:val="•"/>
      <w:lvlJc w:val="left"/>
      <w:pPr>
        <w:ind w:left="937" w:hanging="297"/>
      </w:pPr>
    </w:lvl>
    <w:lvl w:ilvl="3">
      <w:numFmt w:val="bullet"/>
      <w:lvlText w:val="•"/>
      <w:lvlJc w:val="left"/>
      <w:pPr>
        <w:ind w:left="1206" w:hanging="297"/>
      </w:pPr>
    </w:lvl>
    <w:lvl w:ilvl="4">
      <w:numFmt w:val="bullet"/>
      <w:lvlText w:val="•"/>
      <w:lvlJc w:val="left"/>
      <w:pPr>
        <w:ind w:left="1474" w:hanging="297"/>
      </w:pPr>
    </w:lvl>
    <w:lvl w:ilvl="5">
      <w:numFmt w:val="bullet"/>
      <w:lvlText w:val="•"/>
      <w:lvlJc w:val="left"/>
      <w:pPr>
        <w:ind w:left="1743" w:hanging="297"/>
      </w:pPr>
    </w:lvl>
    <w:lvl w:ilvl="6">
      <w:numFmt w:val="bullet"/>
      <w:lvlText w:val="•"/>
      <w:lvlJc w:val="left"/>
      <w:pPr>
        <w:ind w:left="2012" w:hanging="297"/>
      </w:pPr>
    </w:lvl>
    <w:lvl w:ilvl="7">
      <w:numFmt w:val="bullet"/>
      <w:lvlText w:val="•"/>
      <w:lvlJc w:val="left"/>
      <w:pPr>
        <w:ind w:left="2280" w:hanging="297"/>
      </w:pPr>
    </w:lvl>
    <w:lvl w:ilvl="8">
      <w:numFmt w:val="bullet"/>
      <w:lvlText w:val="•"/>
      <w:lvlJc w:val="left"/>
      <w:pPr>
        <w:ind w:left="2549" w:hanging="297"/>
      </w:pPr>
    </w:lvl>
  </w:abstractNum>
  <w:abstractNum w:abstractNumId="8" w15:restartNumberingAfterBreak="0">
    <w:nsid w:val="0000040A"/>
    <w:multiLevelType w:val="multilevel"/>
    <w:tmpl w:val="FFFFFFFF"/>
    <w:lvl w:ilvl="0">
      <w:numFmt w:val="bullet"/>
      <w:lvlText w:val="•"/>
      <w:lvlJc w:val="left"/>
      <w:pPr>
        <w:ind w:left="403" w:hanging="298"/>
      </w:pPr>
      <w:rPr>
        <w:rFonts w:ascii="Times New Roman" w:hAnsi="Times New Roman" w:cs="Times New Roman"/>
        <w:b w:val="0"/>
        <w:bCs w:val="0"/>
        <w:i w:val="0"/>
        <w:iCs w:val="0"/>
        <w:spacing w:val="0"/>
        <w:w w:val="106"/>
        <w:position w:val="-4"/>
        <w:sz w:val="29"/>
        <w:szCs w:val="29"/>
      </w:rPr>
    </w:lvl>
    <w:lvl w:ilvl="1">
      <w:numFmt w:val="bullet"/>
      <w:lvlText w:val="•"/>
      <w:lvlJc w:val="left"/>
      <w:pPr>
        <w:ind w:left="568" w:hanging="298"/>
      </w:pPr>
    </w:lvl>
    <w:lvl w:ilvl="2">
      <w:numFmt w:val="bullet"/>
      <w:lvlText w:val="•"/>
      <w:lvlJc w:val="left"/>
      <w:pPr>
        <w:ind w:left="736" w:hanging="298"/>
      </w:pPr>
    </w:lvl>
    <w:lvl w:ilvl="3">
      <w:numFmt w:val="bullet"/>
      <w:lvlText w:val="•"/>
      <w:lvlJc w:val="left"/>
      <w:pPr>
        <w:ind w:left="904" w:hanging="298"/>
      </w:pPr>
    </w:lvl>
    <w:lvl w:ilvl="4">
      <w:numFmt w:val="bullet"/>
      <w:lvlText w:val="•"/>
      <w:lvlJc w:val="left"/>
      <w:pPr>
        <w:ind w:left="1072" w:hanging="298"/>
      </w:pPr>
    </w:lvl>
    <w:lvl w:ilvl="5">
      <w:numFmt w:val="bullet"/>
      <w:lvlText w:val="•"/>
      <w:lvlJc w:val="left"/>
      <w:pPr>
        <w:ind w:left="1241" w:hanging="298"/>
      </w:pPr>
    </w:lvl>
    <w:lvl w:ilvl="6">
      <w:numFmt w:val="bullet"/>
      <w:lvlText w:val="•"/>
      <w:lvlJc w:val="left"/>
      <w:pPr>
        <w:ind w:left="1409" w:hanging="298"/>
      </w:pPr>
    </w:lvl>
    <w:lvl w:ilvl="7">
      <w:numFmt w:val="bullet"/>
      <w:lvlText w:val="•"/>
      <w:lvlJc w:val="left"/>
      <w:pPr>
        <w:ind w:left="1577" w:hanging="298"/>
      </w:pPr>
    </w:lvl>
    <w:lvl w:ilvl="8">
      <w:numFmt w:val="bullet"/>
      <w:lvlText w:val="•"/>
      <w:lvlJc w:val="left"/>
      <w:pPr>
        <w:ind w:left="1745" w:hanging="298"/>
      </w:pPr>
    </w:lvl>
  </w:abstractNum>
  <w:abstractNum w:abstractNumId="9" w15:restartNumberingAfterBreak="0">
    <w:nsid w:val="043B69DD"/>
    <w:multiLevelType w:val="hybridMultilevel"/>
    <w:tmpl w:val="0EC8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F961D2"/>
    <w:multiLevelType w:val="hybridMultilevel"/>
    <w:tmpl w:val="EEC8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35001C"/>
    <w:multiLevelType w:val="hybridMultilevel"/>
    <w:tmpl w:val="CCC06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E4124D"/>
    <w:multiLevelType w:val="hybridMultilevel"/>
    <w:tmpl w:val="52A4B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16E3D"/>
    <w:multiLevelType w:val="hybridMultilevel"/>
    <w:tmpl w:val="AD7CF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3E1AA9"/>
    <w:multiLevelType w:val="hybridMultilevel"/>
    <w:tmpl w:val="E788E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FA1F1E"/>
    <w:multiLevelType w:val="hybridMultilevel"/>
    <w:tmpl w:val="FC38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EC7652"/>
    <w:multiLevelType w:val="hybridMultilevel"/>
    <w:tmpl w:val="EB466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C256E2"/>
    <w:multiLevelType w:val="hybridMultilevel"/>
    <w:tmpl w:val="A4FCE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5E302B"/>
    <w:multiLevelType w:val="hybridMultilevel"/>
    <w:tmpl w:val="46C66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0700D"/>
    <w:multiLevelType w:val="hybridMultilevel"/>
    <w:tmpl w:val="D7C42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616352"/>
    <w:multiLevelType w:val="hybridMultilevel"/>
    <w:tmpl w:val="205260E0"/>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71542"/>
    <w:multiLevelType w:val="hybridMultilevel"/>
    <w:tmpl w:val="933CD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7D2CB4"/>
    <w:multiLevelType w:val="hybridMultilevel"/>
    <w:tmpl w:val="A55888A4"/>
    <w:lvl w:ilvl="0" w:tplc="FF36430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35533D"/>
    <w:multiLevelType w:val="hybridMultilevel"/>
    <w:tmpl w:val="327A0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F37517"/>
    <w:multiLevelType w:val="hybridMultilevel"/>
    <w:tmpl w:val="654C7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2553F1"/>
    <w:multiLevelType w:val="hybridMultilevel"/>
    <w:tmpl w:val="10FE3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4C1648"/>
    <w:multiLevelType w:val="hybridMultilevel"/>
    <w:tmpl w:val="E4342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136EBC"/>
    <w:multiLevelType w:val="hybridMultilevel"/>
    <w:tmpl w:val="01B4D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36639D"/>
    <w:multiLevelType w:val="hybridMultilevel"/>
    <w:tmpl w:val="AAEEF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07698B"/>
    <w:multiLevelType w:val="hybridMultilevel"/>
    <w:tmpl w:val="91F01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021826"/>
    <w:multiLevelType w:val="hybridMultilevel"/>
    <w:tmpl w:val="195E7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C259B1"/>
    <w:multiLevelType w:val="hybridMultilevel"/>
    <w:tmpl w:val="5D2E2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1C001D"/>
    <w:multiLevelType w:val="hybridMultilevel"/>
    <w:tmpl w:val="301E7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7310F9"/>
    <w:multiLevelType w:val="hybridMultilevel"/>
    <w:tmpl w:val="86F86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737525"/>
    <w:multiLevelType w:val="hybridMultilevel"/>
    <w:tmpl w:val="A16E6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885857"/>
    <w:multiLevelType w:val="hybridMultilevel"/>
    <w:tmpl w:val="62C0F660"/>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F07FC7"/>
    <w:multiLevelType w:val="hybridMultilevel"/>
    <w:tmpl w:val="EF44CD0A"/>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D5CDA"/>
    <w:multiLevelType w:val="hybridMultilevel"/>
    <w:tmpl w:val="BBA4F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1353508">
    <w:abstractNumId w:val="24"/>
  </w:num>
  <w:num w:numId="2" w16cid:durableId="143157671">
    <w:abstractNumId w:val="35"/>
  </w:num>
  <w:num w:numId="3" w16cid:durableId="1512136623">
    <w:abstractNumId w:val="9"/>
  </w:num>
  <w:num w:numId="4" w16cid:durableId="1455557214">
    <w:abstractNumId w:val="25"/>
  </w:num>
  <w:num w:numId="5" w16cid:durableId="1252815520">
    <w:abstractNumId w:val="15"/>
  </w:num>
  <w:num w:numId="6" w16cid:durableId="1638947485">
    <w:abstractNumId w:val="31"/>
  </w:num>
  <w:num w:numId="7" w16cid:durableId="455878027">
    <w:abstractNumId w:val="34"/>
  </w:num>
  <w:num w:numId="8" w16cid:durableId="1757820683">
    <w:abstractNumId w:val="27"/>
  </w:num>
  <w:num w:numId="9" w16cid:durableId="794101664">
    <w:abstractNumId w:val="18"/>
  </w:num>
  <w:num w:numId="10" w16cid:durableId="1648708382">
    <w:abstractNumId w:val="37"/>
  </w:num>
  <w:num w:numId="11" w16cid:durableId="1708023443">
    <w:abstractNumId w:val="28"/>
  </w:num>
  <w:num w:numId="12" w16cid:durableId="1534994274">
    <w:abstractNumId w:val="14"/>
  </w:num>
  <w:num w:numId="13" w16cid:durableId="926694001">
    <w:abstractNumId w:val="20"/>
  </w:num>
  <w:num w:numId="14" w16cid:durableId="1098016755">
    <w:abstractNumId w:val="12"/>
  </w:num>
  <w:num w:numId="15" w16cid:durableId="1933052706">
    <w:abstractNumId w:val="19"/>
  </w:num>
  <w:num w:numId="16" w16cid:durableId="974604198">
    <w:abstractNumId w:val="36"/>
  </w:num>
  <w:num w:numId="17" w16cid:durableId="629170117">
    <w:abstractNumId w:val="22"/>
  </w:num>
  <w:num w:numId="18" w16cid:durableId="261302948">
    <w:abstractNumId w:val="16"/>
  </w:num>
  <w:num w:numId="19" w16cid:durableId="1964920393">
    <w:abstractNumId w:val="32"/>
  </w:num>
  <w:num w:numId="20" w16cid:durableId="1153566375">
    <w:abstractNumId w:val="23"/>
  </w:num>
  <w:num w:numId="21" w16cid:durableId="691223399">
    <w:abstractNumId w:val="17"/>
  </w:num>
  <w:num w:numId="22" w16cid:durableId="167527135">
    <w:abstractNumId w:val="13"/>
  </w:num>
  <w:num w:numId="23" w16cid:durableId="439107433">
    <w:abstractNumId w:val="26"/>
  </w:num>
  <w:num w:numId="24" w16cid:durableId="1101994191">
    <w:abstractNumId w:val="30"/>
  </w:num>
  <w:num w:numId="25" w16cid:durableId="786775188">
    <w:abstractNumId w:val="21"/>
  </w:num>
  <w:num w:numId="26" w16cid:durableId="1992176720">
    <w:abstractNumId w:val="8"/>
  </w:num>
  <w:num w:numId="27" w16cid:durableId="827212855">
    <w:abstractNumId w:val="7"/>
  </w:num>
  <w:num w:numId="28" w16cid:durableId="1031224184">
    <w:abstractNumId w:val="6"/>
  </w:num>
  <w:num w:numId="29" w16cid:durableId="550843390">
    <w:abstractNumId w:val="5"/>
  </w:num>
  <w:num w:numId="30" w16cid:durableId="1536229529">
    <w:abstractNumId w:val="4"/>
  </w:num>
  <w:num w:numId="31" w16cid:durableId="177239249">
    <w:abstractNumId w:val="3"/>
  </w:num>
  <w:num w:numId="32" w16cid:durableId="1492064775">
    <w:abstractNumId w:val="2"/>
  </w:num>
  <w:num w:numId="33" w16cid:durableId="1188525336">
    <w:abstractNumId w:val="1"/>
  </w:num>
  <w:num w:numId="34" w16cid:durableId="1494951872">
    <w:abstractNumId w:val="0"/>
  </w:num>
  <w:num w:numId="35" w16cid:durableId="1726904447">
    <w:abstractNumId w:val="33"/>
  </w:num>
  <w:num w:numId="36" w16cid:durableId="1751926898">
    <w:abstractNumId w:val="10"/>
  </w:num>
  <w:num w:numId="37" w16cid:durableId="201480203">
    <w:abstractNumId w:val="29"/>
  </w:num>
  <w:num w:numId="38" w16cid:durableId="11646594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07"/>
    <w:rsid w:val="000005CE"/>
    <w:rsid w:val="00000B6C"/>
    <w:rsid w:val="00001234"/>
    <w:rsid w:val="000019A5"/>
    <w:rsid w:val="00002369"/>
    <w:rsid w:val="0000295F"/>
    <w:rsid w:val="00003161"/>
    <w:rsid w:val="00003380"/>
    <w:rsid w:val="000035F2"/>
    <w:rsid w:val="00003DA7"/>
    <w:rsid w:val="00004F52"/>
    <w:rsid w:val="00004F56"/>
    <w:rsid w:val="000057DC"/>
    <w:rsid w:val="00005FFD"/>
    <w:rsid w:val="00006FE6"/>
    <w:rsid w:val="00007108"/>
    <w:rsid w:val="000072EF"/>
    <w:rsid w:val="0000778C"/>
    <w:rsid w:val="00007EB9"/>
    <w:rsid w:val="000103E3"/>
    <w:rsid w:val="00012719"/>
    <w:rsid w:val="00012AFF"/>
    <w:rsid w:val="00012B0A"/>
    <w:rsid w:val="00012F80"/>
    <w:rsid w:val="00013558"/>
    <w:rsid w:val="00013B70"/>
    <w:rsid w:val="00013DFB"/>
    <w:rsid w:val="00014C93"/>
    <w:rsid w:val="00016B8D"/>
    <w:rsid w:val="00016E10"/>
    <w:rsid w:val="00016F6F"/>
    <w:rsid w:val="000201A8"/>
    <w:rsid w:val="000211D2"/>
    <w:rsid w:val="000233CE"/>
    <w:rsid w:val="000235E8"/>
    <w:rsid w:val="00024736"/>
    <w:rsid w:val="000251D4"/>
    <w:rsid w:val="00027216"/>
    <w:rsid w:val="00030B63"/>
    <w:rsid w:val="00032340"/>
    <w:rsid w:val="000356E2"/>
    <w:rsid w:val="00035A00"/>
    <w:rsid w:val="00035EEE"/>
    <w:rsid w:val="00036336"/>
    <w:rsid w:val="0003640B"/>
    <w:rsid w:val="000378EC"/>
    <w:rsid w:val="00037B43"/>
    <w:rsid w:val="000411A5"/>
    <w:rsid w:val="000428DC"/>
    <w:rsid w:val="0004377E"/>
    <w:rsid w:val="00044487"/>
    <w:rsid w:val="00045FFE"/>
    <w:rsid w:val="00046F34"/>
    <w:rsid w:val="00051186"/>
    <w:rsid w:val="00051586"/>
    <w:rsid w:val="000521E2"/>
    <w:rsid w:val="00052494"/>
    <w:rsid w:val="000527DF"/>
    <w:rsid w:val="00052C11"/>
    <w:rsid w:val="00052F74"/>
    <w:rsid w:val="0005322A"/>
    <w:rsid w:val="00053A2C"/>
    <w:rsid w:val="00053AC8"/>
    <w:rsid w:val="00054DC2"/>
    <w:rsid w:val="0005539D"/>
    <w:rsid w:val="00055811"/>
    <w:rsid w:val="00055ADF"/>
    <w:rsid w:val="00055FB3"/>
    <w:rsid w:val="00056E07"/>
    <w:rsid w:val="00060540"/>
    <w:rsid w:val="00062710"/>
    <w:rsid w:val="0006523E"/>
    <w:rsid w:val="00066DAD"/>
    <w:rsid w:val="000703AD"/>
    <w:rsid w:val="000715C0"/>
    <w:rsid w:val="00071838"/>
    <w:rsid w:val="00071B9B"/>
    <w:rsid w:val="00071C71"/>
    <w:rsid w:val="000729BE"/>
    <w:rsid w:val="00072C5E"/>
    <w:rsid w:val="0007344D"/>
    <w:rsid w:val="00073B89"/>
    <w:rsid w:val="00074AAD"/>
    <w:rsid w:val="0007587A"/>
    <w:rsid w:val="00075D0A"/>
    <w:rsid w:val="00075ED5"/>
    <w:rsid w:val="000761E5"/>
    <w:rsid w:val="000772CB"/>
    <w:rsid w:val="000773DA"/>
    <w:rsid w:val="00080810"/>
    <w:rsid w:val="00081A31"/>
    <w:rsid w:val="0008290C"/>
    <w:rsid w:val="00083214"/>
    <w:rsid w:val="0008345E"/>
    <w:rsid w:val="00083A9B"/>
    <w:rsid w:val="00084F51"/>
    <w:rsid w:val="00087A68"/>
    <w:rsid w:val="00090165"/>
    <w:rsid w:val="00090235"/>
    <w:rsid w:val="0009151A"/>
    <w:rsid w:val="000935F3"/>
    <w:rsid w:val="00093E20"/>
    <w:rsid w:val="00094A5D"/>
    <w:rsid w:val="00097360"/>
    <w:rsid w:val="00097EBB"/>
    <w:rsid w:val="000A094A"/>
    <w:rsid w:val="000A1967"/>
    <w:rsid w:val="000A1AB5"/>
    <w:rsid w:val="000A262A"/>
    <w:rsid w:val="000A2A4A"/>
    <w:rsid w:val="000A2BB0"/>
    <w:rsid w:val="000A3681"/>
    <w:rsid w:val="000A3B92"/>
    <w:rsid w:val="000A4153"/>
    <w:rsid w:val="000A5C34"/>
    <w:rsid w:val="000A6521"/>
    <w:rsid w:val="000A735F"/>
    <w:rsid w:val="000A7361"/>
    <w:rsid w:val="000A7CC5"/>
    <w:rsid w:val="000B0780"/>
    <w:rsid w:val="000B1836"/>
    <w:rsid w:val="000B2E35"/>
    <w:rsid w:val="000B3380"/>
    <w:rsid w:val="000B35F0"/>
    <w:rsid w:val="000B3881"/>
    <w:rsid w:val="000B409C"/>
    <w:rsid w:val="000B487C"/>
    <w:rsid w:val="000B559B"/>
    <w:rsid w:val="000B6076"/>
    <w:rsid w:val="000B6913"/>
    <w:rsid w:val="000B6AEB"/>
    <w:rsid w:val="000B7017"/>
    <w:rsid w:val="000B7207"/>
    <w:rsid w:val="000B7459"/>
    <w:rsid w:val="000C1C5C"/>
    <w:rsid w:val="000C2637"/>
    <w:rsid w:val="000C2AC2"/>
    <w:rsid w:val="000C4C03"/>
    <w:rsid w:val="000C5859"/>
    <w:rsid w:val="000C5B73"/>
    <w:rsid w:val="000C5D0E"/>
    <w:rsid w:val="000C68E6"/>
    <w:rsid w:val="000C72CA"/>
    <w:rsid w:val="000D1232"/>
    <w:rsid w:val="000D185A"/>
    <w:rsid w:val="000D19EE"/>
    <w:rsid w:val="000D2007"/>
    <w:rsid w:val="000D3058"/>
    <w:rsid w:val="000D3469"/>
    <w:rsid w:val="000D350A"/>
    <w:rsid w:val="000D481D"/>
    <w:rsid w:val="000D4A33"/>
    <w:rsid w:val="000D4E2A"/>
    <w:rsid w:val="000D5082"/>
    <w:rsid w:val="000D536A"/>
    <w:rsid w:val="000D6E3D"/>
    <w:rsid w:val="000D737B"/>
    <w:rsid w:val="000D7D90"/>
    <w:rsid w:val="000E022D"/>
    <w:rsid w:val="000E04EF"/>
    <w:rsid w:val="000E45FC"/>
    <w:rsid w:val="000E7445"/>
    <w:rsid w:val="000E7BDB"/>
    <w:rsid w:val="000F159C"/>
    <w:rsid w:val="000F1950"/>
    <w:rsid w:val="000F1A4D"/>
    <w:rsid w:val="000F391B"/>
    <w:rsid w:val="000F4510"/>
    <w:rsid w:val="000F4C48"/>
    <w:rsid w:val="000F510D"/>
    <w:rsid w:val="000F51FA"/>
    <w:rsid w:val="000F6E6F"/>
    <w:rsid w:val="000F75DB"/>
    <w:rsid w:val="000F779A"/>
    <w:rsid w:val="000F786F"/>
    <w:rsid w:val="000F7DF3"/>
    <w:rsid w:val="00100402"/>
    <w:rsid w:val="001019B2"/>
    <w:rsid w:val="0010205C"/>
    <w:rsid w:val="00102E56"/>
    <w:rsid w:val="00103002"/>
    <w:rsid w:val="00103E04"/>
    <w:rsid w:val="00105BF9"/>
    <w:rsid w:val="00106D7F"/>
    <w:rsid w:val="00107233"/>
    <w:rsid w:val="00111371"/>
    <w:rsid w:val="00111AA3"/>
    <w:rsid w:val="001128D6"/>
    <w:rsid w:val="00112EE5"/>
    <w:rsid w:val="00114507"/>
    <w:rsid w:val="0011467A"/>
    <w:rsid w:val="0011582D"/>
    <w:rsid w:val="00116162"/>
    <w:rsid w:val="0011744C"/>
    <w:rsid w:val="001208C7"/>
    <w:rsid w:val="00120B3E"/>
    <w:rsid w:val="00120DF1"/>
    <w:rsid w:val="00120FA7"/>
    <w:rsid w:val="00121030"/>
    <w:rsid w:val="0012211C"/>
    <w:rsid w:val="00122777"/>
    <w:rsid w:val="00122923"/>
    <w:rsid w:val="00122952"/>
    <w:rsid w:val="00122F34"/>
    <w:rsid w:val="001230FB"/>
    <w:rsid w:val="0012448D"/>
    <w:rsid w:val="001256A0"/>
    <w:rsid w:val="001262D8"/>
    <w:rsid w:val="001265C1"/>
    <w:rsid w:val="00127191"/>
    <w:rsid w:val="0012738C"/>
    <w:rsid w:val="0012762F"/>
    <w:rsid w:val="001279BC"/>
    <w:rsid w:val="00130E42"/>
    <w:rsid w:val="001310E0"/>
    <w:rsid w:val="00131B31"/>
    <w:rsid w:val="00132304"/>
    <w:rsid w:val="00132CC7"/>
    <w:rsid w:val="00134A74"/>
    <w:rsid w:val="00134E4C"/>
    <w:rsid w:val="0013506B"/>
    <w:rsid w:val="00136169"/>
    <w:rsid w:val="00137F69"/>
    <w:rsid w:val="00140C82"/>
    <w:rsid w:val="001426B6"/>
    <w:rsid w:val="001427CA"/>
    <w:rsid w:val="001433C6"/>
    <w:rsid w:val="001436A4"/>
    <w:rsid w:val="0014379B"/>
    <w:rsid w:val="00143947"/>
    <w:rsid w:val="00143A2D"/>
    <w:rsid w:val="00144D9C"/>
    <w:rsid w:val="00144E47"/>
    <w:rsid w:val="001455F4"/>
    <w:rsid w:val="00145764"/>
    <w:rsid w:val="001461D0"/>
    <w:rsid w:val="001467CB"/>
    <w:rsid w:val="00146B5C"/>
    <w:rsid w:val="0014712D"/>
    <w:rsid w:val="00147314"/>
    <w:rsid w:val="001477C1"/>
    <w:rsid w:val="00147FB9"/>
    <w:rsid w:val="00150791"/>
    <w:rsid w:val="00150A9E"/>
    <w:rsid w:val="001518B9"/>
    <w:rsid w:val="00151986"/>
    <w:rsid w:val="00151B99"/>
    <w:rsid w:val="00151C3D"/>
    <w:rsid w:val="00152199"/>
    <w:rsid w:val="001535EC"/>
    <w:rsid w:val="00153E6F"/>
    <w:rsid w:val="00153F1F"/>
    <w:rsid w:val="00155782"/>
    <w:rsid w:val="00155D5F"/>
    <w:rsid w:val="001560C8"/>
    <w:rsid w:val="0015628A"/>
    <w:rsid w:val="0015677E"/>
    <w:rsid w:val="00157072"/>
    <w:rsid w:val="00157327"/>
    <w:rsid w:val="00157DC2"/>
    <w:rsid w:val="0016004F"/>
    <w:rsid w:val="00160527"/>
    <w:rsid w:val="00160689"/>
    <w:rsid w:val="001608A5"/>
    <w:rsid w:val="00160A5E"/>
    <w:rsid w:val="00163256"/>
    <w:rsid w:val="0016331E"/>
    <w:rsid w:val="001636D6"/>
    <w:rsid w:val="00164989"/>
    <w:rsid w:val="00167D01"/>
    <w:rsid w:val="0017049E"/>
    <w:rsid w:val="00170944"/>
    <w:rsid w:val="00170BA7"/>
    <w:rsid w:val="00171721"/>
    <w:rsid w:val="00172105"/>
    <w:rsid w:val="0017273E"/>
    <w:rsid w:val="0017340D"/>
    <w:rsid w:val="0017585B"/>
    <w:rsid w:val="00175CBA"/>
    <w:rsid w:val="001775FB"/>
    <w:rsid w:val="001800A4"/>
    <w:rsid w:val="001807C0"/>
    <w:rsid w:val="00180A78"/>
    <w:rsid w:val="00181483"/>
    <w:rsid w:val="00182318"/>
    <w:rsid w:val="0018339E"/>
    <w:rsid w:val="00183C86"/>
    <w:rsid w:val="00184D38"/>
    <w:rsid w:val="00185433"/>
    <w:rsid w:val="001854C7"/>
    <w:rsid w:val="00186A3F"/>
    <w:rsid w:val="00187199"/>
    <w:rsid w:val="001905D0"/>
    <w:rsid w:val="0019175B"/>
    <w:rsid w:val="00191E5B"/>
    <w:rsid w:val="001921E8"/>
    <w:rsid w:val="00192F7D"/>
    <w:rsid w:val="00192FE6"/>
    <w:rsid w:val="001938EE"/>
    <w:rsid w:val="00193908"/>
    <w:rsid w:val="00193BAC"/>
    <w:rsid w:val="001940B1"/>
    <w:rsid w:val="001940CC"/>
    <w:rsid w:val="0019429C"/>
    <w:rsid w:val="0019500D"/>
    <w:rsid w:val="001957B9"/>
    <w:rsid w:val="00196C33"/>
    <w:rsid w:val="001979F8"/>
    <w:rsid w:val="001A0377"/>
    <w:rsid w:val="001A0407"/>
    <w:rsid w:val="001A04EF"/>
    <w:rsid w:val="001A0959"/>
    <w:rsid w:val="001A1F47"/>
    <w:rsid w:val="001A2FD4"/>
    <w:rsid w:val="001A366F"/>
    <w:rsid w:val="001A4889"/>
    <w:rsid w:val="001A58FC"/>
    <w:rsid w:val="001A785E"/>
    <w:rsid w:val="001A7B88"/>
    <w:rsid w:val="001B0D9E"/>
    <w:rsid w:val="001B0E91"/>
    <w:rsid w:val="001B137E"/>
    <w:rsid w:val="001B1CC4"/>
    <w:rsid w:val="001B1D61"/>
    <w:rsid w:val="001B1D8A"/>
    <w:rsid w:val="001B3091"/>
    <w:rsid w:val="001B376D"/>
    <w:rsid w:val="001B39ED"/>
    <w:rsid w:val="001B3F2D"/>
    <w:rsid w:val="001B4A12"/>
    <w:rsid w:val="001B5297"/>
    <w:rsid w:val="001B54CA"/>
    <w:rsid w:val="001B5943"/>
    <w:rsid w:val="001B5B03"/>
    <w:rsid w:val="001B6A90"/>
    <w:rsid w:val="001B7E2D"/>
    <w:rsid w:val="001C002F"/>
    <w:rsid w:val="001C15CD"/>
    <w:rsid w:val="001C1B42"/>
    <w:rsid w:val="001C1D36"/>
    <w:rsid w:val="001C20F9"/>
    <w:rsid w:val="001C226B"/>
    <w:rsid w:val="001C2FE5"/>
    <w:rsid w:val="001C3302"/>
    <w:rsid w:val="001C3EE0"/>
    <w:rsid w:val="001C3FBB"/>
    <w:rsid w:val="001C40DF"/>
    <w:rsid w:val="001C454D"/>
    <w:rsid w:val="001C49A1"/>
    <w:rsid w:val="001C5137"/>
    <w:rsid w:val="001C558E"/>
    <w:rsid w:val="001C6549"/>
    <w:rsid w:val="001C6B29"/>
    <w:rsid w:val="001D2059"/>
    <w:rsid w:val="001D26DB"/>
    <w:rsid w:val="001D473B"/>
    <w:rsid w:val="001D4A21"/>
    <w:rsid w:val="001D4C61"/>
    <w:rsid w:val="001D56E5"/>
    <w:rsid w:val="001D64BB"/>
    <w:rsid w:val="001D6502"/>
    <w:rsid w:val="001D6B33"/>
    <w:rsid w:val="001D6CFF"/>
    <w:rsid w:val="001D709A"/>
    <w:rsid w:val="001D7BCA"/>
    <w:rsid w:val="001E093A"/>
    <w:rsid w:val="001E0CC9"/>
    <w:rsid w:val="001E0E1E"/>
    <w:rsid w:val="001E3AEB"/>
    <w:rsid w:val="001E4D50"/>
    <w:rsid w:val="001E5EBB"/>
    <w:rsid w:val="001E6B5E"/>
    <w:rsid w:val="001E6BAD"/>
    <w:rsid w:val="001E6BBF"/>
    <w:rsid w:val="001E6DF3"/>
    <w:rsid w:val="001E6F9A"/>
    <w:rsid w:val="001F0A0C"/>
    <w:rsid w:val="001F1809"/>
    <w:rsid w:val="001F27E1"/>
    <w:rsid w:val="001F36CA"/>
    <w:rsid w:val="001F3E60"/>
    <w:rsid w:val="001F45ED"/>
    <w:rsid w:val="001F6102"/>
    <w:rsid w:val="001F65C9"/>
    <w:rsid w:val="001F6764"/>
    <w:rsid w:val="001F77A2"/>
    <w:rsid w:val="001F7E62"/>
    <w:rsid w:val="001F7EC3"/>
    <w:rsid w:val="002004B2"/>
    <w:rsid w:val="002005C4"/>
    <w:rsid w:val="00200773"/>
    <w:rsid w:val="0020199A"/>
    <w:rsid w:val="00202C6A"/>
    <w:rsid w:val="002036C0"/>
    <w:rsid w:val="002070D8"/>
    <w:rsid w:val="00207939"/>
    <w:rsid w:val="00207E4C"/>
    <w:rsid w:val="002100DF"/>
    <w:rsid w:val="002102D7"/>
    <w:rsid w:val="00210437"/>
    <w:rsid w:val="002107B8"/>
    <w:rsid w:val="00210840"/>
    <w:rsid w:val="0021121D"/>
    <w:rsid w:val="00212B0D"/>
    <w:rsid w:val="00212E8F"/>
    <w:rsid w:val="0021394F"/>
    <w:rsid w:val="00213EE4"/>
    <w:rsid w:val="0021468E"/>
    <w:rsid w:val="00215154"/>
    <w:rsid w:val="002156A6"/>
    <w:rsid w:val="00216169"/>
    <w:rsid w:val="00216450"/>
    <w:rsid w:val="002165CB"/>
    <w:rsid w:val="002174D4"/>
    <w:rsid w:val="002208AE"/>
    <w:rsid w:val="002208C2"/>
    <w:rsid w:val="00220D08"/>
    <w:rsid w:val="00221408"/>
    <w:rsid w:val="00222304"/>
    <w:rsid w:val="002227CD"/>
    <w:rsid w:val="00223DE3"/>
    <w:rsid w:val="002243B2"/>
    <w:rsid w:val="00224A2F"/>
    <w:rsid w:val="00225664"/>
    <w:rsid w:val="00225911"/>
    <w:rsid w:val="002272EE"/>
    <w:rsid w:val="00227E67"/>
    <w:rsid w:val="002304DE"/>
    <w:rsid w:val="002309D6"/>
    <w:rsid w:val="0023115D"/>
    <w:rsid w:val="00232734"/>
    <w:rsid w:val="002342CB"/>
    <w:rsid w:val="002350F6"/>
    <w:rsid w:val="002351AB"/>
    <w:rsid w:val="002354EF"/>
    <w:rsid w:val="002362EE"/>
    <w:rsid w:val="00236580"/>
    <w:rsid w:val="00236998"/>
    <w:rsid w:val="00240215"/>
    <w:rsid w:val="00240406"/>
    <w:rsid w:val="00241DD1"/>
    <w:rsid w:val="00242196"/>
    <w:rsid w:val="0024221E"/>
    <w:rsid w:val="00242F7F"/>
    <w:rsid w:val="002436B4"/>
    <w:rsid w:val="0024420A"/>
    <w:rsid w:val="00245360"/>
    <w:rsid w:val="00245495"/>
    <w:rsid w:val="002457E6"/>
    <w:rsid w:val="00245F8E"/>
    <w:rsid w:val="0024656A"/>
    <w:rsid w:val="00247F43"/>
    <w:rsid w:val="00250093"/>
    <w:rsid w:val="0025071A"/>
    <w:rsid w:val="00250AFF"/>
    <w:rsid w:val="00250E15"/>
    <w:rsid w:val="00250FC8"/>
    <w:rsid w:val="00252F13"/>
    <w:rsid w:val="00253042"/>
    <w:rsid w:val="00253220"/>
    <w:rsid w:val="0025333E"/>
    <w:rsid w:val="00253F97"/>
    <w:rsid w:val="0025504E"/>
    <w:rsid w:val="002553E1"/>
    <w:rsid w:val="002555FA"/>
    <w:rsid w:val="00256A25"/>
    <w:rsid w:val="00260154"/>
    <w:rsid w:val="002603EC"/>
    <w:rsid w:val="002607E2"/>
    <w:rsid w:val="00260E33"/>
    <w:rsid w:val="002613F0"/>
    <w:rsid w:val="002616FB"/>
    <w:rsid w:val="00261ACF"/>
    <w:rsid w:val="0026333D"/>
    <w:rsid w:val="00263472"/>
    <w:rsid w:val="002635DC"/>
    <w:rsid w:val="002636A3"/>
    <w:rsid w:val="002636CB"/>
    <w:rsid w:val="0026374A"/>
    <w:rsid w:val="002652C0"/>
    <w:rsid w:val="00265B05"/>
    <w:rsid w:val="00265D2B"/>
    <w:rsid w:val="00267B19"/>
    <w:rsid w:val="002700F8"/>
    <w:rsid w:val="00270759"/>
    <w:rsid w:val="0027108B"/>
    <w:rsid w:val="0027122C"/>
    <w:rsid w:val="00275C66"/>
    <w:rsid w:val="002765DB"/>
    <w:rsid w:val="002767D4"/>
    <w:rsid w:val="0027743E"/>
    <w:rsid w:val="00277FBD"/>
    <w:rsid w:val="00280414"/>
    <w:rsid w:val="002806FF"/>
    <w:rsid w:val="00280CF7"/>
    <w:rsid w:val="00280E38"/>
    <w:rsid w:val="00282C05"/>
    <w:rsid w:val="00283C58"/>
    <w:rsid w:val="002859A8"/>
    <w:rsid w:val="0028658D"/>
    <w:rsid w:val="00286954"/>
    <w:rsid w:val="00287C03"/>
    <w:rsid w:val="0029043A"/>
    <w:rsid w:val="00290B83"/>
    <w:rsid w:val="00290BE8"/>
    <w:rsid w:val="00291DCF"/>
    <w:rsid w:val="00291F28"/>
    <w:rsid w:val="00292672"/>
    <w:rsid w:val="00292D10"/>
    <w:rsid w:val="002936C3"/>
    <w:rsid w:val="002939A3"/>
    <w:rsid w:val="002948F6"/>
    <w:rsid w:val="00294B20"/>
    <w:rsid w:val="00294E5D"/>
    <w:rsid w:val="00295109"/>
    <w:rsid w:val="00295259"/>
    <w:rsid w:val="0029567A"/>
    <w:rsid w:val="0029604E"/>
    <w:rsid w:val="00296D08"/>
    <w:rsid w:val="00296E65"/>
    <w:rsid w:val="0029762F"/>
    <w:rsid w:val="00297DE9"/>
    <w:rsid w:val="002A0EA0"/>
    <w:rsid w:val="002A11B9"/>
    <w:rsid w:val="002A16BE"/>
    <w:rsid w:val="002A19DE"/>
    <w:rsid w:val="002A1A5E"/>
    <w:rsid w:val="002A220D"/>
    <w:rsid w:val="002A2600"/>
    <w:rsid w:val="002A3D14"/>
    <w:rsid w:val="002A3E89"/>
    <w:rsid w:val="002A40CB"/>
    <w:rsid w:val="002A451E"/>
    <w:rsid w:val="002A4D59"/>
    <w:rsid w:val="002A5764"/>
    <w:rsid w:val="002A577D"/>
    <w:rsid w:val="002A6706"/>
    <w:rsid w:val="002B01E2"/>
    <w:rsid w:val="002B04D3"/>
    <w:rsid w:val="002B05AB"/>
    <w:rsid w:val="002B14A7"/>
    <w:rsid w:val="002B1BDC"/>
    <w:rsid w:val="002B1D8A"/>
    <w:rsid w:val="002B1E08"/>
    <w:rsid w:val="002B23A5"/>
    <w:rsid w:val="002B2A50"/>
    <w:rsid w:val="002B2D1F"/>
    <w:rsid w:val="002B3114"/>
    <w:rsid w:val="002B4AE3"/>
    <w:rsid w:val="002B4BD5"/>
    <w:rsid w:val="002B50B4"/>
    <w:rsid w:val="002B5462"/>
    <w:rsid w:val="002B5558"/>
    <w:rsid w:val="002B6FD1"/>
    <w:rsid w:val="002B720D"/>
    <w:rsid w:val="002B75A1"/>
    <w:rsid w:val="002B7DBC"/>
    <w:rsid w:val="002C0986"/>
    <w:rsid w:val="002C147B"/>
    <w:rsid w:val="002C1C99"/>
    <w:rsid w:val="002C1CA5"/>
    <w:rsid w:val="002C2086"/>
    <w:rsid w:val="002C2130"/>
    <w:rsid w:val="002C221C"/>
    <w:rsid w:val="002C2277"/>
    <w:rsid w:val="002C23F7"/>
    <w:rsid w:val="002C24FC"/>
    <w:rsid w:val="002C2858"/>
    <w:rsid w:val="002C3033"/>
    <w:rsid w:val="002C32C1"/>
    <w:rsid w:val="002C46F8"/>
    <w:rsid w:val="002C52B7"/>
    <w:rsid w:val="002C540A"/>
    <w:rsid w:val="002C5A4F"/>
    <w:rsid w:val="002C6349"/>
    <w:rsid w:val="002C63CA"/>
    <w:rsid w:val="002C6957"/>
    <w:rsid w:val="002C6CF8"/>
    <w:rsid w:val="002C7E54"/>
    <w:rsid w:val="002D160D"/>
    <w:rsid w:val="002D18BD"/>
    <w:rsid w:val="002D232B"/>
    <w:rsid w:val="002D49C3"/>
    <w:rsid w:val="002D4F78"/>
    <w:rsid w:val="002D5847"/>
    <w:rsid w:val="002D5EF3"/>
    <w:rsid w:val="002D73B4"/>
    <w:rsid w:val="002D7ACA"/>
    <w:rsid w:val="002D7E99"/>
    <w:rsid w:val="002E0CF0"/>
    <w:rsid w:val="002E1FA3"/>
    <w:rsid w:val="002E1FF7"/>
    <w:rsid w:val="002E218B"/>
    <w:rsid w:val="002E259A"/>
    <w:rsid w:val="002E30B7"/>
    <w:rsid w:val="002E3729"/>
    <w:rsid w:val="002E3B0B"/>
    <w:rsid w:val="002E44CF"/>
    <w:rsid w:val="002E4B09"/>
    <w:rsid w:val="002E5BED"/>
    <w:rsid w:val="002E5D02"/>
    <w:rsid w:val="002E5E3B"/>
    <w:rsid w:val="002E709E"/>
    <w:rsid w:val="002E7563"/>
    <w:rsid w:val="002F13E0"/>
    <w:rsid w:val="002F23CC"/>
    <w:rsid w:val="002F3DFF"/>
    <w:rsid w:val="002F3F83"/>
    <w:rsid w:val="002F4225"/>
    <w:rsid w:val="002F5B37"/>
    <w:rsid w:val="002F6902"/>
    <w:rsid w:val="002F6B94"/>
    <w:rsid w:val="002F6F42"/>
    <w:rsid w:val="002F6F79"/>
    <w:rsid w:val="00300A34"/>
    <w:rsid w:val="00300C95"/>
    <w:rsid w:val="00302211"/>
    <w:rsid w:val="003039FC"/>
    <w:rsid w:val="00303CB9"/>
    <w:rsid w:val="00304AF5"/>
    <w:rsid w:val="00304F02"/>
    <w:rsid w:val="0030591A"/>
    <w:rsid w:val="00305A97"/>
    <w:rsid w:val="003062A1"/>
    <w:rsid w:val="0030647F"/>
    <w:rsid w:val="00306AF3"/>
    <w:rsid w:val="00307435"/>
    <w:rsid w:val="00310F27"/>
    <w:rsid w:val="00311492"/>
    <w:rsid w:val="0031179E"/>
    <w:rsid w:val="00311BA4"/>
    <w:rsid w:val="00311D66"/>
    <w:rsid w:val="003127D8"/>
    <w:rsid w:val="00313C3F"/>
    <w:rsid w:val="00314A80"/>
    <w:rsid w:val="0031546B"/>
    <w:rsid w:val="0031552C"/>
    <w:rsid w:val="00315A0A"/>
    <w:rsid w:val="00316D35"/>
    <w:rsid w:val="00316DB0"/>
    <w:rsid w:val="00316E73"/>
    <w:rsid w:val="00317645"/>
    <w:rsid w:val="00317A31"/>
    <w:rsid w:val="00317BD2"/>
    <w:rsid w:val="00317ECF"/>
    <w:rsid w:val="00317FE6"/>
    <w:rsid w:val="00320BF0"/>
    <w:rsid w:val="00320C7B"/>
    <w:rsid w:val="00320D25"/>
    <w:rsid w:val="00321A61"/>
    <w:rsid w:val="00323668"/>
    <w:rsid w:val="00323DF4"/>
    <w:rsid w:val="00323EEA"/>
    <w:rsid w:val="003249B5"/>
    <w:rsid w:val="00324A61"/>
    <w:rsid w:val="00324EF6"/>
    <w:rsid w:val="003262DF"/>
    <w:rsid w:val="0033022C"/>
    <w:rsid w:val="0033025C"/>
    <w:rsid w:val="00330417"/>
    <w:rsid w:val="003314FC"/>
    <w:rsid w:val="00332931"/>
    <w:rsid w:val="0033298A"/>
    <w:rsid w:val="003329B2"/>
    <w:rsid w:val="00333DA6"/>
    <w:rsid w:val="003348F8"/>
    <w:rsid w:val="00334E16"/>
    <w:rsid w:val="0033514E"/>
    <w:rsid w:val="0033529F"/>
    <w:rsid w:val="00335C47"/>
    <w:rsid w:val="00336668"/>
    <w:rsid w:val="00337FA8"/>
    <w:rsid w:val="00340180"/>
    <w:rsid w:val="003401AD"/>
    <w:rsid w:val="00340B79"/>
    <w:rsid w:val="00340E0E"/>
    <w:rsid w:val="003428F8"/>
    <w:rsid w:val="003431CE"/>
    <w:rsid w:val="0034332C"/>
    <w:rsid w:val="00344454"/>
    <w:rsid w:val="0034454F"/>
    <w:rsid w:val="00344C6D"/>
    <w:rsid w:val="003455E2"/>
    <w:rsid w:val="00345F4F"/>
    <w:rsid w:val="00346359"/>
    <w:rsid w:val="00346560"/>
    <w:rsid w:val="003467FA"/>
    <w:rsid w:val="0034693C"/>
    <w:rsid w:val="00347251"/>
    <w:rsid w:val="00347A40"/>
    <w:rsid w:val="0035115E"/>
    <w:rsid w:val="003513B6"/>
    <w:rsid w:val="00352459"/>
    <w:rsid w:val="0035264D"/>
    <w:rsid w:val="0035354E"/>
    <w:rsid w:val="003553D1"/>
    <w:rsid w:val="00356DB6"/>
    <w:rsid w:val="00360114"/>
    <w:rsid w:val="0036019A"/>
    <w:rsid w:val="00360540"/>
    <w:rsid w:val="00360D75"/>
    <w:rsid w:val="00361309"/>
    <w:rsid w:val="00362626"/>
    <w:rsid w:val="0036385C"/>
    <w:rsid w:val="00363C5B"/>
    <w:rsid w:val="00363E63"/>
    <w:rsid w:val="00364234"/>
    <w:rsid w:val="00364A6C"/>
    <w:rsid w:val="00364F6B"/>
    <w:rsid w:val="00365394"/>
    <w:rsid w:val="003655B1"/>
    <w:rsid w:val="0036579B"/>
    <w:rsid w:val="00365F81"/>
    <w:rsid w:val="0037006D"/>
    <w:rsid w:val="00370842"/>
    <w:rsid w:val="003709CB"/>
    <w:rsid w:val="00371775"/>
    <w:rsid w:val="00372647"/>
    <w:rsid w:val="003734AB"/>
    <w:rsid w:val="00374968"/>
    <w:rsid w:val="00374D38"/>
    <w:rsid w:val="00375499"/>
    <w:rsid w:val="00375DFA"/>
    <w:rsid w:val="00376485"/>
    <w:rsid w:val="00376664"/>
    <w:rsid w:val="00376803"/>
    <w:rsid w:val="00376A76"/>
    <w:rsid w:val="00376D88"/>
    <w:rsid w:val="00376DF4"/>
    <w:rsid w:val="00377164"/>
    <w:rsid w:val="00377A9A"/>
    <w:rsid w:val="003803AE"/>
    <w:rsid w:val="003806E4"/>
    <w:rsid w:val="003808E4"/>
    <w:rsid w:val="0038342D"/>
    <w:rsid w:val="00383A1B"/>
    <w:rsid w:val="00383FBA"/>
    <w:rsid w:val="00384E2A"/>
    <w:rsid w:val="0038621B"/>
    <w:rsid w:val="00386662"/>
    <w:rsid w:val="00386B23"/>
    <w:rsid w:val="00387D73"/>
    <w:rsid w:val="00387DFD"/>
    <w:rsid w:val="00390958"/>
    <w:rsid w:val="00390B0C"/>
    <w:rsid w:val="00391384"/>
    <w:rsid w:val="003924AB"/>
    <w:rsid w:val="00393199"/>
    <w:rsid w:val="003936EB"/>
    <w:rsid w:val="00394A4C"/>
    <w:rsid w:val="00394EB3"/>
    <w:rsid w:val="00394FCB"/>
    <w:rsid w:val="003955FF"/>
    <w:rsid w:val="00396B6E"/>
    <w:rsid w:val="003A1CAB"/>
    <w:rsid w:val="003A231D"/>
    <w:rsid w:val="003A26E1"/>
    <w:rsid w:val="003A3B40"/>
    <w:rsid w:val="003A4978"/>
    <w:rsid w:val="003A5639"/>
    <w:rsid w:val="003A5CF1"/>
    <w:rsid w:val="003A5EAE"/>
    <w:rsid w:val="003A6A9A"/>
    <w:rsid w:val="003A6BA5"/>
    <w:rsid w:val="003A7171"/>
    <w:rsid w:val="003A77AE"/>
    <w:rsid w:val="003B0876"/>
    <w:rsid w:val="003B2375"/>
    <w:rsid w:val="003B278D"/>
    <w:rsid w:val="003B2C8C"/>
    <w:rsid w:val="003B44D8"/>
    <w:rsid w:val="003B47B1"/>
    <w:rsid w:val="003B5871"/>
    <w:rsid w:val="003B5B5E"/>
    <w:rsid w:val="003B6630"/>
    <w:rsid w:val="003B66F6"/>
    <w:rsid w:val="003B6A25"/>
    <w:rsid w:val="003B6E6B"/>
    <w:rsid w:val="003B71BC"/>
    <w:rsid w:val="003B773F"/>
    <w:rsid w:val="003B7795"/>
    <w:rsid w:val="003C19E4"/>
    <w:rsid w:val="003C24B2"/>
    <w:rsid w:val="003C2A60"/>
    <w:rsid w:val="003C31D4"/>
    <w:rsid w:val="003C3683"/>
    <w:rsid w:val="003C4C02"/>
    <w:rsid w:val="003C69EB"/>
    <w:rsid w:val="003C7348"/>
    <w:rsid w:val="003D03CD"/>
    <w:rsid w:val="003D15DF"/>
    <w:rsid w:val="003D1E16"/>
    <w:rsid w:val="003D328E"/>
    <w:rsid w:val="003D361E"/>
    <w:rsid w:val="003D38C9"/>
    <w:rsid w:val="003D3939"/>
    <w:rsid w:val="003D3C7C"/>
    <w:rsid w:val="003D4653"/>
    <w:rsid w:val="003D4B1F"/>
    <w:rsid w:val="003D57E7"/>
    <w:rsid w:val="003D5BD8"/>
    <w:rsid w:val="003D5D38"/>
    <w:rsid w:val="003D72F2"/>
    <w:rsid w:val="003E12B4"/>
    <w:rsid w:val="003E2BFF"/>
    <w:rsid w:val="003E352C"/>
    <w:rsid w:val="003E36B6"/>
    <w:rsid w:val="003E40C5"/>
    <w:rsid w:val="003E71BF"/>
    <w:rsid w:val="003E79C5"/>
    <w:rsid w:val="003F1500"/>
    <w:rsid w:val="003F2B52"/>
    <w:rsid w:val="003F3150"/>
    <w:rsid w:val="003F32C9"/>
    <w:rsid w:val="003F3777"/>
    <w:rsid w:val="003F3FAD"/>
    <w:rsid w:val="003F4414"/>
    <w:rsid w:val="003F4F13"/>
    <w:rsid w:val="003F6FCC"/>
    <w:rsid w:val="003F7DAC"/>
    <w:rsid w:val="004005FD"/>
    <w:rsid w:val="00400891"/>
    <w:rsid w:val="004013ED"/>
    <w:rsid w:val="00401731"/>
    <w:rsid w:val="0040319C"/>
    <w:rsid w:val="00403338"/>
    <w:rsid w:val="004034C5"/>
    <w:rsid w:val="00403D3B"/>
    <w:rsid w:val="004040DE"/>
    <w:rsid w:val="004044E7"/>
    <w:rsid w:val="004046FB"/>
    <w:rsid w:val="00404712"/>
    <w:rsid w:val="00404A1A"/>
    <w:rsid w:val="00405EF7"/>
    <w:rsid w:val="004111D4"/>
    <w:rsid w:val="00412153"/>
    <w:rsid w:val="00414895"/>
    <w:rsid w:val="004156FE"/>
    <w:rsid w:val="0041630E"/>
    <w:rsid w:val="00416630"/>
    <w:rsid w:val="00416E4F"/>
    <w:rsid w:val="0041702E"/>
    <w:rsid w:val="0041707E"/>
    <w:rsid w:val="004177CE"/>
    <w:rsid w:val="00420382"/>
    <w:rsid w:val="00420BE9"/>
    <w:rsid w:val="00420C8A"/>
    <w:rsid w:val="00422B85"/>
    <w:rsid w:val="0042366D"/>
    <w:rsid w:val="00424835"/>
    <w:rsid w:val="00424EE1"/>
    <w:rsid w:val="00424F84"/>
    <w:rsid w:val="004255EA"/>
    <w:rsid w:val="00426E74"/>
    <w:rsid w:val="004278F6"/>
    <w:rsid w:val="0043100D"/>
    <w:rsid w:val="004317B3"/>
    <w:rsid w:val="004318E2"/>
    <w:rsid w:val="00432900"/>
    <w:rsid w:val="00432F91"/>
    <w:rsid w:val="00434861"/>
    <w:rsid w:val="004353D4"/>
    <w:rsid w:val="00435AA1"/>
    <w:rsid w:val="004360FE"/>
    <w:rsid w:val="004363B6"/>
    <w:rsid w:val="004364FB"/>
    <w:rsid w:val="00436843"/>
    <w:rsid w:val="004368BB"/>
    <w:rsid w:val="004373B0"/>
    <w:rsid w:val="0043750A"/>
    <w:rsid w:val="0044057F"/>
    <w:rsid w:val="00440D36"/>
    <w:rsid w:val="00440E66"/>
    <w:rsid w:val="004414DB"/>
    <w:rsid w:val="004423B2"/>
    <w:rsid w:val="00442550"/>
    <w:rsid w:val="00442759"/>
    <w:rsid w:val="00443689"/>
    <w:rsid w:val="00443968"/>
    <w:rsid w:val="004443DC"/>
    <w:rsid w:val="0044773D"/>
    <w:rsid w:val="0044785A"/>
    <w:rsid w:val="00450D8B"/>
    <w:rsid w:val="00451925"/>
    <w:rsid w:val="004533F1"/>
    <w:rsid w:val="004537DF"/>
    <w:rsid w:val="00453844"/>
    <w:rsid w:val="004544C9"/>
    <w:rsid w:val="00454586"/>
    <w:rsid w:val="004549B8"/>
    <w:rsid w:val="004553E5"/>
    <w:rsid w:val="004563B7"/>
    <w:rsid w:val="00456B8C"/>
    <w:rsid w:val="004578C3"/>
    <w:rsid w:val="0046068C"/>
    <w:rsid w:val="00460A9D"/>
    <w:rsid w:val="00460F58"/>
    <w:rsid w:val="00461609"/>
    <w:rsid w:val="00462D71"/>
    <w:rsid w:val="00462E99"/>
    <w:rsid w:val="004642F7"/>
    <w:rsid w:val="004645EB"/>
    <w:rsid w:val="00464E0A"/>
    <w:rsid w:val="0046542A"/>
    <w:rsid w:val="00465999"/>
    <w:rsid w:val="00466B78"/>
    <w:rsid w:val="004674B3"/>
    <w:rsid w:val="00467A17"/>
    <w:rsid w:val="00467D04"/>
    <w:rsid w:val="00470865"/>
    <w:rsid w:val="00470A19"/>
    <w:rsid w:val="00473553"/>
    <w:rsid w:val="00476F17"/>
    <w:rsid w:val="00476F32"/>
    <w:rsid w:val="00477CFD"/>
    <w:rsid w:val="0048026E"/>
    <w:rsid w:val="00480343"/>
    <w:rsid w:val="0048038D"/>
    <w:rsid w:val="00480595"/>
    <w:rsid w:val="00481FC8"/>
    <w:rsid w:val="00483A9F"/>
    <w:rsid w:val="004841B1"/>
    <w:rsid w:val="004843E1"/>
    <w:rsid w:val="004853E2"/>
    <w:rsid w:val="00485BCA"/>
    <w:rsid w:val="00485DE9"/>
    <w:rsid w:val="004871C4"/>
    <w:rsid w:val="0049203E"/>
    <w:rsid w:val="00492389"/>
    <w:rsid w:val="00492F18"/>
    <w:rsid w:val="00493899"/>
    <w:rsid w:val="00493D59"/>
    <w:rsid w:val="00495BC9"/>
    <w:rsid w:val="00496BD0"/>
    <w:rsid w:val="0049737D"/>
    <w:rsid w:val="004A040C"/>
    <w:rsid w:val="004A04DE"/>
    <w:rsid w:val="004A1C6D"/>
    <w:rsid w:val="004A20D9"/>
    <w:rsid w:val="004A38EE"/>
    <w:rsid w:val="004A4C99"/>
    <w:rsid w:val="004A4EF6"/>
    <w:rsid w:val="004A52FD"/>
    <w:rsid w:val="004A5B9A"/>
    <w:rsid w:val="004A5ED0"/>
    <w:rsid w:val="004A638A"/>
    <w:rsid w:val="004A663A"/>
    <w:rsid w:val="004A6B7C"/>
    <w:rsid w:val="004A7BFC"/>
    <w:rsid w:val="004A7C42"/>
    <w:rsid w:val="004B119C"/>
    <w:rsid w:val="004B1750"/>
    <w:rsid w:val="004B206F"/>
    <w:rsid w:val="004B21D8"/>
    <w:rsid w:val="004B2527"/>
    <w:rsid w:val="004B3320"/>
    <w:rsid w:val="004B35C9"/>
    <w:rsid w:val="004B4711"/>
    <w:rsid w:val="004B5721"/>
    <w:rsid w:val="004B6389"/>
    <w:rsid w:val="004C0394"/>
    <w:rsid w:val="004C060E"/>
    <w:rsid w:val="004C0B8C"/>
    <w:rsid w:val="004C142A"/>
    <w:rsid w:val="004C15A4"/>
    <w:rsid w:val="004C16C2"/>
    <w:rsid w:val="004C3240"/>
    <w:rsid w:val="004C35EA"/>
    <w:rsid w:val="004C3E1C"/>
    <w:rsid w:val="004C45E0"/>
    <w:rsid w:val="004C5457"/>
    <w:rsid w:val="004C56F6"/>
    <w:rsid w:val="004C5F10"/>
    <w:rsid w:val="004C6A7E"/>
    <w:rsid w:val="004C6F33"/>
    <w:rsid w:val="004C7D26"/>
    <w:rsid w:val="004D048D"/>
    <w:rsid w:val="004D0CAC"/>
    <w:rsid w:val="004D2B1C"/>
    <w:rsid w:val="004D2B56"/>
    <w:rsid w:val="004D2F13"/>
    <w:rsid w:val="004D347B"/>
    <w:rsid w:val="004D3E69"/>
    <w:rsid w:val="004D46AF"/>
    <w:rsid w:val="004D4CF0"/>
    <w:rsid w:val="004D4D3D"/>
    <w:rsid w:val="004D6295"/>
    <w:rsid w:val="004D72DA"/>
    <w:rsid w:val="004D7436"/>
    <w:rsid w:val="004E18D5"/>
    <w:rsid w:val="004E37F5"/>
    <w:rsid w:val="004E5C45"/>
    <w:rsid w:val="004E6095"/>
    <w:rsid w:val="004E6318"/>
    <w:rsid w:val="004E64A7"/>
    <w:rsid w:val="004E6A84"/>
    <w:rsid w:val="004E6DF6"/>
    <w:rsid w:val="004E71F2"/>
    <w:rsid w:val="004F06B1"/>
    <w:rsid w:val="004F0B88"/>
    <w:rsid w:val="004F166C"/>
    <w:rsid w:val="004F1941"/>
    <w:rsid w:val="004F2093"/>
    <w:rsid w:val="004F20B6"/>
    <w:rsid w:val="004F33CF"/>
    <w:rsid w:val="004F35BC"/>
    <w:rsid w:val="004F364E"/>
    <w:rsid w:val="004F3CE7"/>
    <w:rsid w:val="004F3DFD"/>
    <w:rsid w:val="004F4052"/>
    <w:rsid w:val="004F429B"/>
    <w:rsid w:val="004F536D"/>
    <w:rsid w:val="004F6109"/>
    <w:rsid w:val="004F7AE6"/>
    <w:rsid w:val="004F7F9C"/>
    <w:rsid w:val="005003A0"/>
    <w:rsid w:val="00500D33"/>
    <w:rsid w:val="005017F4"/>
    <w:rsid w:val="00502723"/>
    <w:rsid w:val="00502C27"/>
    <w:rsid w:val="005032B3"/>
    <w:rsid w:val="005036BE"/>
    <w:rsid w:val="00505B07"/>
    <w:rsid w:val="00506A86"/>
    <w:rsid w:val="00507080"/>
    <w:rsid w:val="005075DE"/>
    <w:rsid w:val="005106E9"/>
    <w:rsid w:val="00510A6F"/>
    <w:rsid w:val="00510EC8"/>
    <w:rsid w:val="00511AA2"/>
    <w:rsid w:val="00512F13"/>
    <w:rsid w:val="005138D7"/>
    <w:rsid w:val="00514120"/>
    <w:rsid w:val="0051436F"/>
    <w:rsid w:val="005144D3"/>
    <w:rsid w:val="00514BF8"/>
    <w:rsid w:val="00514CBD"/>
    <w:rsid w:val="005157B4"/>
    <w:rsid w:val="00515C98"/>
    <w:rsid w:val="005174F6"/>
    <w:rsid w:val="00520B18"/>
    <w:rsid w:val="005241F5"/>
    <w:rsid w:val="0052504E"/>
    <w:rsid w:val="00526C42"/>
    <w:rsid w:val="00527377"/>
    <w:rsid w:val="0052783F"/>
    <w:rsid w:val="005303DA"/>
    <w:rsid w:val="00530C70"/>
    <w:rsid w:val="005311CB"/>
    <w:rsid w:val="005327AF"/>
    <w:rsid w:val="00532B9C"/>
    <w:rsid w:val="00534514"/>
    <w:rsid w:val="00534E73"/>
    <w:rsid w:val="00535BEE"/>
    <w:rsid w:val="00535D5B"/>
    <w:rsid w:val="00537D3F"/>
    <w:rsid w:val="00541205"/>
    <w:rsid w:val="00541985"/>
    <w:rsid w:val="005419F6"/>
    <w:rsid w:val="00541D78"/>
    <w:rsid w:val="00541ED3"/>
    <w:rsid w:val="00542C90"/>
    <w:rsid w:val="005436F5"/>
    <w:rsid w:val="005444A7"/>
    <w:rsid w:val="00544980"/>
    <w:rsid w:val="00544D6A"/>
    <w:rsid w:val="005477D1"/>
    <w:rsid w:val="00550849"/>
    <w:rsid w:val="005525A3"/>
    <w:rsid w:val="00552A4F"/>
    <w:rsid w:val="00552ECD"/>
    <w:rsid w:val="00553B3C"/>
    <w:rsid w:val="00554FDD"/>
    <w:rsid w:val="00555628"/>
    <w:rsid w:val="005565B9"/>
    <w:rsid w:val="0055686F"/>
    <w:rsid w:val="00561BC1"/>
    <w:rsid w:val="00562263"/>
    <w:rsid w:val="00563B4A"/>
    <w:rsid w:val="00563DAB"/>
    <w:rsid w:val="00564701"/>
    <w:rsid w:val="005652F3"/>
    <w:rsid w:val="005660E5"/>
    <w:rsid w:val="00566693"/>
    <w:rsid w:val="0056691A"/>
    <w:rsid w:val="00566A4C"/>
    <w:rsid w:val="00566EFA"/>
    <w:rsid w:val="00566FAB"/>
    <w:rsid w:val="005708DE"/>
    <w:rsid w:val="00571224"/>
    <w:rsid w:val="0057190C"/>
    <w:rsid w:val="00571DB5"/>
    <w:rsid w:val="00572098"/>
    <w:rsid w:val="0057222B"/>
    <w:rsid w:val="005733B8"/>
    <w:rsid w:val="005735CD"/>
    <w:rsid w:val="005757E7"/>
    <w:rsid w:val="00575E0B"/>
    <w:rsid w:val="00576ECF"/>
    <w:rsid w:val="00576ED9"/>
    <w:rsid w:val="005779B4"/>
    <w:rsid w:val="00577B1D"/>
    <w:rsid w:val="005803F2"/>
    <w:rsid w:val="005804A1"/>
    <w:rsid w:val="00580BDE"/>
    <w:rsid w:val="00580F7B"/>
    <w:rsid w:val="00581129"/>
    <w:rsid w:val="00581CAE"/>
    <w:rsid w:val="00582314"/>
    <w:rsid w:val="0058281B"/>
    <w:rsid w:val="00582872"/>
    <w:rsid w:val="005833D2"/>
    <w:rsid w:val="00583C7E"/>
    <w:rsid w:val="00584A02"/>
    <w:rsid w:val="00584F8F"/>
    <w:rsid w:val="00585B8D"/>
    <w:rsid w:val="0058633C"/>
    <w:rsid w:val="00591A07"/>
    <w:rsid w:val="005940F7"/>
    <w:rsid w:val="005943C3"/>
    <w:rsid w:val="00594763"/>
    <w:rsid w:val="00594A7A"/>
    <w:rsid w:val="00594EDF"/>
    <w:rsid w:val="00595F06"/>
    <w:rsid w:val="00596C75"/>
    <w:rsid w:val="0059736D"/>
    <w:rsid w:val="00597AD4"/>
    <w:rsid w:val="005A0224"/>
    <w:rsid w:val="005A07A1"/>
    <w:rsid w:val="005A09DF"/>
    <w:rsid w:val="005A1266"/>
    <w:rsid w:val="005A1DA3"/>
    <w:rsid w:val="005A335F"/>
    <w:rsid w:val="005A553B"/>
    <w:rsid w:val="005A5D28"/>
    <w:rsid w:val="005A77A1"/>
    <w:rsid w:val="005B058D"/>
    <w:rsid w:val="005B0796"/>
    <w:rsid w:val="005B0ABA"/>
    <w:rsid w:val="005B0C7E"/>
    <w:rsid w:val="005B0E19"/>
    <w:rsid w:val="005B1306"/>
    <w:rsid w:val="005B1483"/>
    <w:rsid w:val="005B1EB4"/>
    <w:rsid w:val="005B22A8"/>
    <w:rsid w:val="005B3A5A"/>
    <w:rsid w:val="005B42F4"/>
    <w:rsid w:val="005B5F06"/>
    <w:rsid w:val="005B6154"/>
    <w:rsid w:val="005B6BA5"/>
    <w:rsid w:val="005B72C0"/>
    <w:rsid w:val="005B730E"/>
    <w:rsid w:val="005B733F"/>
    <w:rsid w:val="005C068B"/>
    <w:rsid w:val="005C1248"/>
    <w:rsid w:val="005C2831"/>
    <w:rsid w:val="005C310A"/>
    <w:rsid w:val="005C4155"/>
    <w:rsid w:val="005C6617"/>
    <w:rsid w:val="005D0A4E"/>
    <w:rsid w:val="005D2E5F"/>
    <w:rsid w:val="005D3585"/>
    <w:rsid w:val="005D4027"/>
    <w:rsid w:val="005D5E97"/>
    <w:rsid w:val="005D6BD1"/>
    <w:rsid w:val="005D6D36"/>
    <w:rsid w:val="005D7D4C"/>
    <w:rsid w:val="005E059D"/>
    <w:rsid w:val="005E0FEB"/>
    <w:rsid w:val="005E2466"/>
    <w:rsid w:val="005E2677"/>
    <w:rsid w:val="005E295B"/>
    <w:rsid w:val="005E296B"/>
    <w:rsid w:val="005E5533"/>
    <w:rsid w:val="005E578B"/>
    <w:rsid w:val="005E6109"/>
    <w:rsid w:val="005E6C70"/>
    <w:rsid w:val="005E71D4"/>
    <w:rsid w:val="005E73F4"/>
    <w:rsid w:val="005E742D"/>
    <w:rsid w:val="005E7FB3"/>
    <w:rsid w:val="005F0376"/>
    <w:rsid w:val="005F07B7"/>
    <w:rsid w:val="005F09C4"/>
    <w:rsid w:val="005F1A52"/>
    <w:rsid w:val="005F28B2"/>
    <w:rsid w:val="005F2D68"/>
    <w:rsid w:val="005F3147"/>
    <w:rsid w:val="005F32FF"/>
    <w:rsid w:val="005F4423"/>
    <w:rsid w:val="005F4EB6"/>
    <w:rsid w:val="005F5E79"/>
    <w:rsid w:val="005F7542"/>
    <w:rsid w:val="00601E79"/>
    <w:rsid w:val="00602CF1"/>
    <w:rsid w:val="00603096"/>
    <w:rsid w:val="006031DE"/>
    <w:rsid w:val="0060322B"/>
    <w:rsid w:val="00603496"/>
    <w:rsid w:val="0060419C"/>
    <w:rsid w:val="0060426B"/>
    <w:rsid w:val="00604587"/>
    <w:rsid w:val="00604A3D"/>
    <w:rsid w:val="00606223"/>
    <w:rsid w:val="0060715D"/>
    <w:rsid w:val="00610830"/>
    <w:rsid w:val="00610F3D"/>
    <w:rsid w:val="006111F7"/>
    <w:rsid w:val="006115A3"/>
    <w:rsid w:val="0061213F"/>
    <w:rsid w:val="0061316F"/>
    <w:rsid w:val="00613824"/>
    <w:rsid w:val="00614EC4"/>
    <w:rsid w:val="006152D4"/>
    <w:rsid w:val="00615E3E"/>
    <w:rsid w:val="00615FC6"/>
    <w:rsid w:val="00616359"/>
    <w:rsid w:val="00616D5D"/>
    <w:rsid w:val="00621039"/>
    <w:rsid w:val="0062133F"/>
    <w:rsid w:val="00622541"/>
    <w:rsid w:val="0062269E"/>
    <w:rsid w:val="00623666"/>
    <w:rsid w:val="00623709"/>
    <w:rsid w:val="00626347"/>
    <w:rsid w:val="00626BB7"/>
    <w:rsid w:val="00627CEA"/>
    <w:rsid w:val="00627E75"/>
    <w:rsid w:val="006302B4"/>
    <w:rsid w:val="006302D9"/>
    <w:rsid w:val="006303A7"/>
    <w:rsid w:val="006305D9"/>
    <w:rsid w:val="0063140D"/>
    <w:rsid w:val="006314D8"/>
    <w:rsid w:val="00631ECF"/>
    <w:rsid w:val="00632C68"/>
    <w:rsid w:val="0063356E"/>
    <w:rsid w:val="006338BA"/>
    <w:rsid w:val="006346FD"/>
    <w:rsid w:val="00634BF3"/>
    <w:rsid w:val="00634E69"/>
    <w:rsid w:val="00635CDA"/>
    <w:rsid w:val="00635EDB"/>
    <w:rsid w:val="00636085"/>
    <w:rsid w:val="006361D9"/>
    <w:rsid w:val="00636CB3"/>
    <w:rsid w:val="00636DC1"/>
    <w:rsid w:val="00636E47"/>
    <w:rsid w:val="0063703C"/>
    <w:rsid w:val="00640132"/>
    <w:rsid w:val="00640936"/>
    <w:rsid w:val="00641676"/>
    <w:rsid w:val="00641BFA"/>
    <w:rsid w:val="00641C3B"/>
    <w:rsid w:val="00641FB6"/>
    <w:rsid w:val="0064203F"/>
    <w:rsid w:val="00642C02"/>
    <w:rsid w:val="00643AC4"/>
    <w:rsid w:val="00643DCF"/>
    <w:rsid w:val="006444AD"/>
    <w:rsid w:val="00644A67"/>
    <w:rsid w:val="00645C36"/>
    <w:rsid w:val="00645D05"/>
    <w:rsid w:val="006472F4"/>
    <w:rsid w:val="00647486"/>
    <w:rsid w:val="0064787D"/>
    <w:rsid w:val="00651A6A"/>
    <w:rsid w:val="00653926"/>
    <w:rsid w:val="00654AAC"/>
    <w:rsid w:val="00654D45"/>
    <w:rsid w:val="006553C1"/>
    <w:rsid w:val="0065753E"/>
    <w:rsid w:val="006611BF"/>
    <w:rsid w:val="0066147F"/>
    <w:rsid w:val="00661493"/>
    <w:rsid w:val="006617CD"/>
    <w:rsid w:val="0066244C"/>
    <w:rsid w:val="00662C92"/>
    <w:rsid w:val="0066322C"/>
    <w:rsid w:val="006632F0"/>
    <w:rsid w:val="00663A2F"/>
    <w:rsid w:val="00665800"/>
    <w:rsid w:val="006659EF"/>
    <w:rsid w:val="00665AB8"/>
    <w:rsid w:val="00665D76"/>
    <w:rsid w:val="00665FD5"/>
    <w:rsid w:val="0066690F"/>
    <w:rsid w:val="0066692B"/>
    <w:rsid w:val="00666B1A"/>
    <w:rsid w:val="006671A0"/>
    <w:rsid w:val="006676E8"/>
    <w:rsid w:val="00670077"/>
    <w:rsid w:val="006708D3"/>
    <w:rsid w:val="006720C5"/>
    <w:rsid w:val="00672219"/>
    <w:rsid w:val="00672EC1"/>
    <w:rsid w:val="00673573"/>
    <w:rsid w:val="00673B4E"/>
    <w:rsid w:val="00673DD7"/>
    <w:rsid w:val="006741ED"/>
    <w:rsid w:val="0067543D"/>
    <w:rsid w:val="006758E7"/>
    <w:rsid w:val="00676628"/>
    <w:rsid w:val="006770FE"/>
    <w:rsid w:val="006802B3"/>
    <w:rsid w:val="006812C3"/>
    <w:rsid w:val="00682550"/>
    <w:rsid w:val="00683832"/>
    <w:rsid w:val="00683840"/>
    <w:rsid w:val="006839FB"/>
    <w:rsid w:val="0068420E"/>
    <w:rsid w:val="00684399"/>
    <w:rsid w:val="0068509B"/>
    <w:rsid w:val="00685DCD"/>
    <w:rsid w:val="0068673A"/>
    <w:rsid w:val="0068689F"/>
    <w:rsid w:val="00686AD3"/>
    <w:rsid w:val="00686D2D"/>
    <w:rsid w:val="00686F0F"/>
    <w:rsid w:val="00687689"/>
    <w:rsid w:val="00687C6A"/>
    <w:rsid w:val="0069000C"/>
    <w:rsid w:val="00690C09"/>
    <w:rsid w:val="00692CDC"/>
    <w:rsid w:val="00693121"/>
    <w:rsid w:val="006949DB"/>
    <w:rsid w:val="00694F54"/>
    <w:rsid w:val="00696ACE"/>
    <w:rsid w:val="00696B68"/>
    <w:rsid w:val="006970B0"/>
    <w:rsid w:val="00697124"/>
    <w:rsid w:val="0069743A"/>
    <w:rsid w:val="006976CE"/>
    <w:rsid w:val="006A05A8"/>
    <w:rsid w:val="006A293B"/>
    <w:rsid w:val="006A2CFE"/>
    <w:rsid w:val="006A3F68"/>
    <w:rsid w:val="006A4538"/>
    <w:rsid w:val="006A6C9F"/>
    <w:rsid w:val="006A6D7B"/>
    <w:rsid w:val="006B0114"/>
    <w:rsid w:val="006B03AC"/>
    <w:rsid w:val="006B1506"/>
    <w:rsid w:val="006B1EAA"/>
    <w:rsid w:val="006B249F"/>
    <w:rsid w:val="006B3756"/>
    <w:rsid w:val="006B3F15"/>
    <w:rsid w:val="006B42B1"/>
    <w:rsid w:val="006B4D9C"/>
    <w:rsid w:val="006B5929"/>
    <w:rsid w:val="006B6BE3"/>
    <w:rsid w:val="006B7CF3"/>
    <w:rsid w:val="006C040F"/>
    <w:rsid w:val="006C1ABD"/>
    <w:rsid w:val="006C1EFA"/>
    <w:rsid w:val="006C201D"/>
    <w:rsid w:val="006C2FDE"/>
    <w:rsid w:val="006C336C"/>
    <w:rsid w:val="006C3DAC"/>
    <w:rsid w:val="006C4995"/>
    <w:rsid w:val="006C5D28"/>
    <w:rsid w:val="006C6410"/>
    <w:rsid w:val="006C6EAB"/>
    <w:rsid w:val="006C70C3"/>
    <w:rsid w:val="006C761E"/>
    <w:rsid w:val="006D0360"/>
    <w:rsid w:val="006D0468"/>
    <w:rsid w:val="006D04AE"/>
    <w:rsid w:val="006D05EC"/>
    <w:rsid w:val="006D0B45"/>
    <w:rsid w:val="006D1B78"/>
    <w:rsid w:val="006D2BDD"/>
    <w:rsid w:val="006D2ED6"/>
    <w:rsid w:val="006D2F74"/>
    <w:rsid w:val="006D34A9"/>
    <w:rsid w:val="006D405A"/>
    <w:rsid w:val="006D4C59"/>
    <w:rsid w:val="006D5717"/>
    <w:rsid w:val="006D59FB"/>
    <w:rsid w:val="006D5C3E"/>
    <w:rsid w:val="006D75D6"/>
    <w:rsid w:val="006E04EA"/>
    <w:rsid w:val="006E0853"/>
    <w:rsid w:val="006E092F"/>
    <w:rsid w:val="006E13DA"/>
    <w:rsid w:val="006E17A6"/>
    <w:rsid w:val="006E20F9"/>
    <w:rsid w:val="006E2628"/>
    <w:rsid w:val="006E2A58"/>
    <w:rsid w:val="006E2CCA"/>
    <w:rsid w:val="006E3088"/>
    <w:rsid w:val="006E30F7"/>
    <w:rsid w:val="006E3460"/>
    <w:rsid w:val="006E3D9D"/>
    <w:rsid w:val="006E3F14"/>
    <w:rsid w:val="006E4E01"/>
    <w:rsid w:val="006E546A"/>
    <w:rsid w:val="006E5BD8"/>
    <w:rsid w:val="006E5FAC"/>
    <w:rsid w:val="006E61A5"/>
    <w:rsid w:val="006F3163"/>
    <w:rsid w:val="006F35BB"/>
    <w:rsid w:val="006F481D"/>
    <w:rsid w:val="006F54F3"/>
    <w:rsid w:val="00700DA2"/>
    <w:rsid w:val="00700E07"/>
    <w:rsid w:val="00700F41"/>
    <w:rsid w:val="00701348"/>
    <w:rsid w:val="00701A8C"/>
    <w:rsid w:val="00701F13"/>
    <w:rsid w:val="00702027"/>
    <w:rsid w:val="007043FF"/>
    <w:rsid w:val="007052BA"/>
    <w:rsid w:val="00705C0C"/>
    <w:rsid w:val="00705D6B"/>
    <w:rsid w:val="00705E77"/>
    <w:rsid w:val="00705F14"/>
    <w:rsid w:val="00705FAE"/>
    <w:rsid w:val="007063CD"/>
    <w:rsid w:val="007070CB"/>
    <w:rsid w:val="0070799E"/>
    <w:rsid w:val="00707C25"/>
    <w:rsid w:val="00710672"/>
    <w:rsid w:val="00710964"/>
    <w:rsid w:val="00710B77"/>
    <w:rsid w:val="00712115"/>
    <w:rsid w:val="0071217D"/>
    <w:rsid w:val="00712702"/>
    <w:rsid w:val="00712D95"/>
    <w:rsid w:val="007137CA"/>
    <w:rsid w:val="00713B07"/>
    <w:rsid w:val="00715A67"/>
    <w:rsid w:val="00716344"/>
    <w:rsid w:val="00720665"/>
    <w:rsid w:val="0072073D"/>
    <w:rsid w:val="00721F83"/>
    <w:rsid w:val="007237DF"/>
    <w:rsid w:val="00723AAA"/>
    <w:rsid w:val="00723DB0"/>
    <w:rsid w:val="0072605A"/>
    <w:rsid w:val="00726B8B"/>
    <w:rsid w:val="00726E21"/>
    <w:rsid w:val="00730EA0"/>
    <w:rsid w:val="00730EA4"/>
    <w:rsid w:val="00730ED1"/>
    <w:rsid w:val="00732072"/>
    <w:rsid w:val="007325AD"/>
    <w:rsid w:val="00732713"/>
    <w:rsid w:val="00732725"/>
    <w:rsid w:val="0073488E"/>
    <w:rsid w:val="00734C29"/>
    <w:rsid w:val="007358A7"/>
    <w:rsid w:val="007368F0"/>
    <w:rsid w:val="00736C90"/>
    <w:rsid w:val="007409E0"/>
    <w:rsid w:val="00741526"/>
    <w:rsid w:val="00741EED"/>
    <w:rsid w:val="0074385E"/>
    <w:rsid w:val="00743B34"/>
    <w:rsid w:val="00744C6F"/>
    <w:rsid w:val="00745DD0"/>
    <w:rsid w:val="00745F43"/>
    <w:rsid w:val="0074650B"/>
    <w:rsid w:val="00746B91"/>
    <w:rsid w:val="007479C0"/>
    <w:rsid w:val="00747E38"/>
    <w:rsid w:val="00750919"/>
    <w:rsid w:val="00750B85"/>
    <w:rsid w:val="00751161"/>
    <w:rsid w:val="00751293"/>
    <w:rsid w:val="00752409"/>
    <w:rsid w:val="00753ED2"/>
    <w:rsid w:val="00754791"/>
    <w:rsid w:val="0075491B"/>
    <w:rsid w:val="00754C3F"/>
    <w:rsid w:val="00754EA7"/>
    <w:rsid w:val="00755300"/>
    <w:rsid w:val="00756422"/>
    <w:rsid w:val="0075664F"/>
    <w:rsid w:val="00756E5B"/>
    <w:rsid w:val="00756F80"/>
    <w:rsid w:val="00757424"/>
    <w:rsid w:val="007577BC"/>
    <w:rsid w:val="0075795B"/>
    <w:rsid w:val="00757A64"/>
    <w:rsid w:val="00761703"/>
    <w:rsid w:val="0076190C"/>
    <w:rsid w:val="007620F3"/>
    <w:rsid w:val="007625E5"/>
    <w:rsid w:val="007628C8"/>
    <w:rsid w:val="00764C62"/>
    <w:rsid w:val="00764EBD"/>
    <w:rsid w:val="00764EC8"/>
    <w:rsid w:val="007651E0"/>
    <w:rsid w:val="00766DCF"/>
    <w:rsid w:val="00770709"/>
    <w:rsid w:val="00770DB1"/>
    <w:rsid w:val="0077224D"/>
    <w:rsid w:val="00772A2E"/>
    <w:rsid w:val="00772EAD"/>
    <w:rsid w:val="0077398B"/>
    <w:rsid w:val="00774813"/>
    <w:rsid w:val="007748FA"/>
    <w:rsid w:val="00776EC7"/>
    <w:rsid w:val="00780783"/>
    <w:rsid w:val="00780C56"/>
    <w:rsid w:val="00780E20"/>
    <w:rsid w:val="00781D79"/>
    <w:rsid w:val="00783820"/>
    <w:rsid w:val="00783ED8"/>
    <w:rsid w:val="00784420"/>
    <w:rsid w:val="00784C22"/>
    <w:rsid w:val="007867C9"/>
    <w:rsid w:val="00790784"/>
    <w:rsid w:val="00790E3A"/>
    <w:rsid w:val="007925A2"/>
    <w:rsid w:val="00792A46"/>
    <w:rsid w:val="00793922"/>
    <w:rsid w:val="00793ABD"/>
    <w:rsid w:val="0079483D"/>
    <w:rsid w:val="00794C4F"/>
    <w:rsid w:val="00794F38"/>
    <w:rsid w:val="007952EC"/>
    <w:rsid w:val="0079554E"/>
    <w:rsid w:val="00795550"/>
    <w:rsid w:val="00795607"/>
    <w:rsid w:val="00795D9C"/>
    <w:rsid w:val="00796DCF"/>
    <w:rsid w:val="0079766D"/>
    <w:rsid w:val="007A0A01"/>
    <w:rsid w:val="007A185C"/>
    <w:rsid w:val="007A1E77"/>
    <w:rsid w:val="007A3D3D"/>
    <w:rsid w:val="007A3E58"/>
    <w:rsid w:val="007A4BCB"/>
    <w:rsid w:val="007A50A3"/>
    <w:rsid w:val="007A50DE"/>
    <w:rsid w:val="007A5B8A"/>
    <w:rsid w:val="007A6247"/>
    <w:rsid w:val="007A6794"/>
    <w:rsid w:val="007A7FC8"/>
    <w:rsid w:val="007B0C24"/>
    <w:rsid w:val="007B0F7F"/>
    <w:rsid w:val="007B1CCC"/>
    <w:rsid w:val="007B22E9"/>
    <w:rsid w:val="007B246C"/>
    <w:rsid w:val="007B2524"/>
    <w:rsid w:val="007B30D6"/>
    <w:rsid w:val="007B36C7"/>
    <w:rsid w:val="007B5008"/>
    <w:rsid w:val="007B52E0"/>
    <w:rsid w:val="007B59C6"/>
    <w:rsid w:val="007B63FF"/>
    <w:rsid w:val="007B71E7"/>
    <w:rsid w:val="007B75D2"/>
    <w:rsid w:val="007C008F"/>
    <w:rsid w:val="007C0453"/>
    <w:rsid w:val="007C1268"/>
    <w:rsid w:val="007C1C50"/>
    <w:rsid w:val="007C2F77"/>
    <w:rsid w:val="007C366E"/>
    <w:rsid w:val="007C39FE"/>
    <w:rsid w:val="007C3DC0"/>
    <w:rsid w:val="007C459F"/>
    <w:rsid w:val="007C47DA"/>
    <w:rsid w:val="007C4C97"/>
    <w:rsid w:val="007C5196"/>
    <w:rsid w:val="007C56D5"/>
    <w:rsid w:val="007C5822"/>
    <w:rsid w:val="007C7449"/>
    <w:rsid w:val="007C7AB4"/>
    <w:rsid w:val="007C7AE4"/>
    <w:rsid w:val="007D1660"/>
    <w:rsid w:val="007D1923"/>
    <w:rsid w:val="007D1C34"/>
    <w:rsid w:val="007D35E2"/>
    <w:rsid w:val="007D4221"/>
    <w:rsid w:val="007D4D54"/>
    <w:rsid w:val="007D5810"/>
    <w:rsid w:val="007D5A0F"/>
    <w:rsid w:val="007D5A70"/>
    <w:rsid w:val="007D5CB3"/>
    <w:rsid w:val="007D6920"/>
    <w:rsid w:val="007D7615"/>
    <w:rsid w:val="007E04B6"/>
    <w:rsid w:val="007E08E8"/>
    <w:rsid w:val="007E0927"/>
    <w:rsid w:val="007E0C95"/>
    <w:rsid w:val="007E0F0F"/>
    <w:rsid w:val="007E1551"/>
    <w:rsid w:val="007E2F81"/>
    <w:rsid w:val="007E32FA"/>
    <w:rsid w:val="007E3684"/>
    <w:rsid w:val="007E44E8"/>
    <w:rsid w:val="007E4B73"/>
    <w:rsid w:val="007E4C14"/>
    <w:rsid w:val="007E4CCB"/>
    <w:rsid w:val="007E4CFE"/>
    <w:rsid w:val="007E6EAB"/>
    <w:rsid w:val="007E7F05"/>
    <w:rsid w:val="007E7FD0"/>
    <w:rsid w:val="007F012C"/>
    <w:rsid w:val="007F0911"/>
    <w:rsid w:val="007F1B90"/>
    <w:rsid w:val="007F216A"/>
    <w:rsid w:val="007F2216"/>
    <w:rsid w:val="007F377A"/>
    <w:rsid w:val="007F37B2"/>
    <w:rsid w:val="007F4496"/>
    <w:rsid w:val="007F58B1"/>
    <w:rsid w:val="007F60BD"/>
    <w:rsid w:val="007F7EF4"/>
    <w:rsid w:val="0080005E"/>
    <w:rsid w:val="008008CE"/>
    <w:rsid w:val="008009F9"/>
    <w:rsid w:val="00800D48"/>
    <w:rsid w:val="00800E78"/>
    <w:rsid w:val="00801EAD"/>
    <w:rsid w:val="008031D7"/>
    <w:rsid w:val="00803880"/>
    <w:rsid w:val="00804C03"/>
    <w:rsid w:val="00805444"/>
    <w:rsid w:val="00805939"/>
    <w:rsid w:val="00805CD0"/>
    <w:rsid w:val="00806B4C"/>
    <w:rsid w:val="008072D0"/>
    <w:rsid w:val="00807BC6"/>
    <w:rsid w:val="00810157"/>
    <w:rsid w:val="008104C7"/>
    <w:rsid w:val="00810566"/>
    <w:rsid w:val="0081139A"/>
    <w:rsid w:val="00812737"/>
    <w:rsid w:val="008138F8"/>
    <w:rsid w:val="00813DC5"/>
    <w:rsid w:val="0081433A"/>
    <w:rsid w:val="00814CBF"/>
    <w:rsid w:val="00814CCA"/>
    <w:rsid w:val="0081707B"/>
    <w:rsid w:val="00817913"/>
    <w:rsid w:val="00817F1D"/>
    <w:rsid w:val="00820548"/>
    <w:rsid w:val="00820693"/>
    <w:rsid w:val="008209C0"/>
    <w:rsid w:val="00821C26"/>
    <w:rsid w:val="008229D0"/>
    <w:rsid w:val="008234FD"/>
    <w:rsid w:val="008249D1"/>
    <w:rsid w:val="0082591B"/>
    <w:rsid w:val="00826974"/>
    <w:rsid w:val="00827C90"/>
    <w:rsid w:val="00830046"/>
    <w:rsid w:val="0083030E"/>
    <w:rsid w:val="008306EF"/>
    <w:rsid w:val="00830D2D"/>
    <w:rsid w:val="0083126D"/>
    <w:rsid w:val="00831782"/>
    <w:rsid w:val="008321D0"/>
    <w:rsid w:val="00832315"/>
    <w:rsid w:val="00832DDA"/>
    <w:rsid w:val="00833D61"/>
    <w:rsid w:val="00835104"/>
    <w:rsid w:val="00835E26"/>
    <w:rsid w:val="0083676C"/>
    <w:rsid w:val="00836A04"/>
    <w:rsid w:val="00836B5D"/>
    <w:rsid w:val="00836F41"/>
    <w:rsid w:val="00837340"/>
    <w:rsid w:val="00837AD8"/>
    <w:rsid w:val="00837F61"/>
    <w:rsid w:val="00840086"/>
    <w:rsid w:val="008401E7"/>
    <w:rsid w:val="00840533"/>
    <w:rsid w:val="00842671"/>
    <w:rsid w:val="00842C3C"/>
    <w:rsid w:val="00844B51"/>
    <w:rsid w:val="00844E19"/>
    <w:rsid w:val="0084510E"/>
    <w:rsid w:val="0084615C"/>
    <w:rsid w:val="008466C0"/>
    <w:rsid w:val="00846E9D"/>
    <w:rsid w:val="0084702C"/>
    <w:rsid w:val="00847363"/>
    <w:rsid w:val="008479D8"/>
    <w:rsid w:val="008503DC"/>
    <w:rsid w:val="00850C6D"/>
    <w:rsid w:val="00850F46"/>
    <w:rsid w:val="008515A5"/>
    <w:rsid w:val="0085210E"/>
    <w:rsid w:val="00852C41"/>
    <w:rsid w:val="00853547"/>
    <w:rsid w:val="00853B88"/>
    <w:rsid w:val="00853F5F"/>
    <w:rsid w:val="00854A94"/>
    <w:rsid w:val="00855291"/>
    <w:rsid w:val="00857122"/>
    <w:rsid w:val="00860830"/>
    <w:rsid w:val="0086101B"/>
    <w:rsid w:val="00861750"/>
    <w:rsid w:val="00862B29"/>
    <w:rsid w:val="00862B8D"/>
    <w:rsid w:val="00863052"/>
    <w:rsid w:val="0086351E"/>
    <w:rsid w:val="0086389D"/>
    <w:rsid w:val="00863BDE"/>
    <w:rsid w:val="00863C97"/>
    <w:rsid w:val="00863DD0"/>
    <w:rsid w:val="00863E68"/>
    <w:rsid w:val="008649FC"/>
    <w:rsid w:val="00864DEE"/>
    <w:rsid w:val="008653D8"/>
    <w:rsid w:val="0086637D"/>
    <w:rsid w:val="0086704F"/>
    <w:rsid w:val="0087125D"/>
    <w:rsid w:val="0087383F"/>
    <w:rsid w:val="008740CB"/>
    <w:rsid w:val="00875A07"/>
    <w:rsid w:val="00875AE4"/>
    <w:rsid w:val="00877250"/>
    <w:rsid w:val="00877F49"/>
    <w:rsid w:val="00880781"/>
    <w:rsid w:val="00880F04"/>
    <w:rsid w:val="00881AE2"/>
    <w:rsid w:val="00883D16"/>
    <w:rsid w:val="008841A9"/>
    <w:rsid w:val="00884CCB"/>
    <w:rsid w:val="00885106"/>
    <w:rsid w:val="008856A3"/>
    <w:rsid w:val="00885723"/>
    <w:rsid w:val="00885CF6"/>
    <w:rsid w:val="00891686"/>
    <w:rsid w:val="00892122"/>
    <w:rsid w:val="00893F61"/>
    <w:rsid w:val="0089457B"/>
    <w:rsid w:val="00894D0E"/>
    <w:rsid w:val="00894E5D"/>
    <w:rsid w:val="0089510D"/>
    <w:rsid w:val="008956F7"/>
    <w:rsid w:val="00896562"/>
    <w:rsid w:val="00896778"/>
    <w:rsid w:val="0089700D"/>
    <w:rsid w:val="00897768"/>
    <w:rsid w:val="008A1086"/>
    <w:rsid w:val="008A18C9"/>
    <w:rsid w:val="008A198F"/>
    <w:rsid w:val="008A1CE4"/>
    <w:rsid w:val="008A2253"/>
    <w:rsid w:val="008A34B6"/>
    <w:rsid w:val="008A4039"/>
    <w:rsid w:val="008A40A5"/>
    <w:rsid w:val="008A46E1"/>
    <w:rsid w:val="008A49B3"/>
    <w:rsid w:val="008A4E16"/>
    <w:rsid w:val="008A5276"/>
    <w:rsid w:val="008A5460"/>
    <w:rsid w:val="008A7A98"/>
    <w:rsid w:val="008B01F6"/>
    <w:rsid w:val="008B2C86"/>
    <w:rsid w:val="008B2F49"/>
    <w:rsid w:val="008B38E0"/>
    <w:rsid w:val="008B3E3C"/>
    <w:rsid w:val="008B597E"/>
    <w:rsid w:val="008B5E38"/>
    <w:rsid w:val="008B65D1"/>
    <w:rsid w:val="008B79CF"/>
    <w:rsid w:val="008C2614"/>
    <w:rsid w:val="008C2DA9"/>
    <w:rsid w:val="008C38E6"/>
    <w:rsid w:val="008C413B"/>
    <w:rsid w:val="008C4334"/>
    <w:rsid w:val="008C451A"/>
    <w:rsid w:val="008C4E2B"/>
    <w:rsid w:val="008C509E"/>
    <w:rsid w:val="008C5424"/>
    <w:rsid w:val="008C5A86"/>
    <w:rsid w:val="008C5C7D"/>
    <w:rsid w:val="008C6EDE"/>
    <w:rsid w:val="008C794C"/>
    <w:rsid w:val="008D002B"/>
    <w:rsid w:val="008D0160"/>
    <w:rsid w:val="008D03B3"/>
    <w:rsid w:val="008D03D2"/>
    <w:rsid w:val="008D0828"/>
    <w:rsid w:val="008D0F0B"/>
    <w:rsid w:val="008D1985"/>
    <w:rsid w:val="008D1EA5"/>
    <w:rsid w:val="008D294B"/>
    <w:rsid w:val="008D40B1"/>
    <w:rsid w:val="008D4EB8"/>
    <w:rsid w:val="008D622F"/>
    <w:rsid w:val="008D6A88"/>
    <w:rsid w:val="008E0884"/>
    <w:rsid w:val="008E0FFB"/>
    <w:rsid w:val="008E1236"/>
    <w:rsid w:val="008E1579"/>
    <w:rsid w:val="008E1B82"/>
    <w:rsid w:val="008E24D9"/>
    <w:rsid w:val="008E2C32"/>
    <w:rsid w:val="008E2FDE"/>
    <w:rsid w:val="008E3494"/>
    <w:rsid w:val="008E4355"/>
    <w:rsid w:val="008E608D"/>
    <w:rsid w:val="008E65AD"/>
    <w:rsid w:val="008E664D"/>
    <w:rsid w:val="008E6D89"/>
    <w:rsid w:val="008E6EBE"/>
    <w:rsid w:val="008E6EDC"/>
    <w:rsid w:val="008F03CD"/>
    <w:rsid w:val="008F0469"/>
    <w:rsid w:val="008F05C7"/>
    <w:rsid w:val="008F1009"/>
    <w:rsid w:val="008F1510"/>
    <w:rsid w:val="008F285E"/>
    <w:rsid w:val="008F2D39"/>
    <w:rsid w:val="008F38CD"/>
    <w:rsid w:val="008F42F1"/>
    <w:rsid w:val="008F4670"/>
    <w:rsid w:val="008F4772"/>
    <w:rsid w:val="008F4BBB"/>
    <w:rsid w:val="008F54A6"/>
    <w:rsid w:val="008F5B0D"/>
    <w:rsid w:val="008F5B3D"/>
    <w:rsid w:val="008F744C"/>
    <w:rsid w:val="008F7E61"/>
    <w:rsid w:val="009000DF"/>
    <w:rsid w:val="00900187"/>
    <w:rsid w:val="009004C4"/>
    <w:rsid w:val="00900F6B"/>
    <w:rsid w:val="0090289D"/>
    <w:rsid w:val="009029AC"/>
    <w:rsid w:val="00902C02"/>
    <w:rsid w:val="00902CE3"/>
    <w:rsid w:val="00904112"/>
    <w:rsid w:val="00904432"/>
    <w:rsid w:val="009053FA"/>
    <w:rsid w:val="009062D1"/>
    <w:rsid w:val="009068F1"/>
    <w:rsid w:val="00907333"/>
    <w:rsid w:val="00907CE3"/>
    <w:rsid w:val="0091158C"/>
    <w:rsid w:val="0091203D"/>
    <w:rsid w:val="00912EC5"/>
    <w:rsid w:val="0091373C"/>
    <w:rsid w:val="00914160"/>
    <w:rsid w:val="00914576"/>
    <w:rsid w:val="0091544E"/>
    <w:rsid w:val="00917479"/>
    <w:rsid w:val="009177DD"/>
    <w:rsid w:val="00921284"/>
    <w:rsid w:val="00921771"/>
    <w:rsid w:val="009228A5"/>
    <w:rsid w:val="009229F7"/>
    <w:rsid w:val="00923271"/>
    <w:rsid w:val="00923D2B"/>
    <w:rsid w:val="00924914"/>
    <w:rsid w:val="00924A3A"/>
    <w:rsid w:val="0092608C"/>
    <w:rsid w:val="00926135"/>
    <w:rsid w:val="00926FFB"/>
    <w:rsid w:val="00927129"/>
    <w:rsid w:val="00927A96"/>
    <w:rsid w:val="00927C9A"/>
    <w:rsid w:val="00930E58"/>
    <w:rsid w:val="00930ED0"/>
    <w:rsid w:val="00933E58"/>
    <w:rsid w:val="00934148"/>
    <w:rsid w:val="009348DF"/>
    <w:rsid w:val="00934C80"/>
    <w:rsid w:val="009352B7"/>
    <w:rsid w:val="009353C2"/>
    <w:rsid w:val="00935654"/>
    <w:rsid w:val="00935987"/>
    <w:rsid w:val="00936264"/>
    <w:rsid w:val="00936479"/>
    <w:rsid w:val="009369DD"/>
    <w:rsid w:val="009403B7"/>
    <w:rsid w:val="00940733"/>
    <w:rsid w:val="00940CB3"/>
    <w:rsid w:val="00940D6A"/>
    <w:rsid w:val="00940FB3"/>
    <w:rsid w:val="00940FD3"/>
    <w:rsid w:val="00942991"/>
    <w:rsid w:val="009429BC"/>
    <w:rsid w:val="00942D0C"/>
    <w:rsid w:val="00942E2F"/>
    <w:rsid w:val="00942E96"/>
    <w:rsid w:val="009442A6"/>
    <w:rsid w:val="00944C5C"/>
    <w:rsid w:val="00944DB5"/>
    <w:rsid w:val="00944E73"/>
    <w:rsid w:val="00945224"/>
    <w:rsid w:val="00945616"/>
    <w:rsid w:val="00946231"/>
    <w:rsid w:val="009464C8"/>
    <w:rsid w:val="009467C2"/>
    <w:rsid w:val="009468AE"/>
    <w:rsid w:val="009469CC"/>
    <w:rsid w:val="00946DD9"/>
    <w:rsid w:val="009471D0"/>
    <w:rsid w:val="0094731B"/>
    <w:rsid w:val="009515CC"/>
    <w:rsid w:val="00951632"/>
    <w:rsid w:val="00951891"/>
    <w:rsid w:val="009537A7"/>
    <w:rsid w:val="00953ADA"/>
    <w:rsid w:val="0095411B"/>
    <w:rsid w:val="00954D06"/>
    <w:rsid w:val="0095569F"/>
    <w:rsid w:val="00955853"/>
    <w:rsid w:val="009567E8"/>
    <w:rsid w:val="0095788B"/>
    <w:rsid w:val="0096029D"/>
    <w:rsid w:val="009607E7"/>
    <w:rsid w:val="00960E12"/>
    <w:rsid w:val="00961FED"/>
    <w:rsid w:val="0096222D"/>
    <w:rsid w:val="009624D1"/>
    <w:rsid w:val="009627D8"/>
    <w:rsid w:val="00962C7E"/>
    <w:rsid w:val="00962F1F"/>
    <w:rsid w:val="00964C11"/>
    <w:rsid w:val="009651A1"/>
    <w:rsid w:val="009654E9"/>
    <w:rsid w:val="00965E0B"/>
    <w:rsid w:val="00966024"/>
    <w:rsid w:val="0096714A"/>
    <w:rsid w:val="009676D4"/>
    <w:rsid w:val="00970996"/>
    <w:rsid w:val="00971213"/>
    <w:rsid w:val="0097136C"/>
    <w:rsid w:val="00972556"/>
    <w:rsid w:val="009725E3"/>
    <w:rsid w:val="00973524"/>
    <w:rsid w:val="00973D0D"/>
    <w:rsid w:val="00974E17"/>
    <w:rsid w:val="00974E67"/>
    <w:rsid w:val="00975146"/>
    <w:rsid w:val="00975832"/>
    <w:rsid w:val="009761FE"/>
    <w:rsid w:val="00976901"/>
    <w:rsid w:val="009777DB"/>
    <w:rsid w:val="00977824"/>
    <w:rsid w:val="00977D79"/>
    <w:rsid w:val="00980409"/>
    <w:rsid w:val="009807ED"/>
    <w:rsid w:val="00980DC8"/>
    <w:rsid w:val="00980E75"/>
    <w:rsid w:val="009819E2"/>
    <w:rsid w:val="009823D0"/>
    <w:rsid w:val="00982648"/>
    <w:rsid w:val="00982A4A"/>
    <w:rsid w:val="00982D29"/>
    <w:rsid w:val="00983A8A"/>
    <w:rsid w:val="009847A0"/>
    <w:rsid w:val="00985236"/>
    <w:rsid w:val="00985470"/>
    <w:rsid w:val="009861A8"/>
    <w:rsid w:val="00987E4A"/>
    <w:rsid w:val="009901DE"/>
    <w:rsid w:val="0099128A"/>
    <w:rsid w:val="0099129A"/>
    <w:rsid w:val="00991ACE"/>
    <w:rsid w:val="00991E9C"/>
    <w:rsid w:val="00991F6E"/>
    <w:rsid w:val="00993A50"/>
    <w:rsid w:val="00993B6E"/>
    <w:rsid w:val="00993CCE"/>
    <w:rsid w:val="00993E62"/>
    <w:rsid w:val="009945D7"/>
    <w:rsid w:val="00995538"/>
    <w:rsid w:val="00996589"/>
    <w:rsid w:val="00996AA8"/>
    <w:rsid w:val="00996D57"/>
    <w:rsid w:val="00997E9E"/>
    <w:rsid w:val="00997FE6"/>
    <w:rsid w:val="009A066F"/>
    <w:rsid w:val="009A14BB"/>
    <w:rsid w:val="009A2671"/>
    <w:rsid w:val="009A295A"/>
    <w:rsid w:val="009A29EA"/>
    <w:rsid w:val="009A3358"/>
    <w:rsid w:val="009A3CCA"/>
    <w:rsid w:val="009A3D4F"/>
    <w:rsid w:val="009A406F"/>
    <w:rsid w:val="009A43D5"/>
    <w:rsid w:val="009A5A49"/>
    <w:rsid w:val="009A6A4F"/>
    <w:rsid w:val="009B01E7"/>
    <w:rsid w:val="009B2BBD"/>
    <w:rsid w:val="009B2E0D"/>
    <w:rsid w:val="009B352B"/>
    <w:rsid w:val="009B3A03"/>
    <w:rsid w:val="009B3CFC"/>
    <w:rsid w:val="009B3D71"/>
    <w:rsid w:val="009B4418"/>
    <w:rsid w:val="009B44ED"/>
    <w:rsid w:val="009B477A"/>
    <w:rsid w:val="009B4D6A"/>
    <w:rsid w:val="009B54C1"/>
    <w:rsid w:val="009B55FD"/>
    <w:rsid w:val="009B64A7"/>
    <w:rsid w:val="009B6819"/>
    <w:rsid w:val="009B6893"/>
    <w:rsid w:val="009B7609"/>
    <w:rsid w:val="009C0E55"/>
    <w:rsid w:val="009C143D"/>
    <w:rsid w:val="009C1690"/>
    <w:rsid w:val="009C1A11"/>
    <w:rsid w:val="009C1AF8"/>
    <w:rsid w:val="009C1C4D"/>
    <w:rsid w:val="009C1E2B"/>
    <w:rsid w:val="009C3A15"/>
    <w:rsid w:val="009C40AD"/>
    <w:rsid w:val="009C4402"/>
    <w:rsid w:val="009C457B"/>
    <w:rsid w:val="009C5628"/>
    <w:rsid w:val="009C6141"/>
    <w:rsid w:val="009C6611"/>
    <w:rsid w:val="009C673A"/>
    <w:rsid w:val="009C6D97"/>
    <w:rsid w:val="009C7658"/>
    <w:rsid w:val="009C7928"/>
    <w:rsid w:val="009D0020"/>
    <w:rsid w:val="009D0C86"/>
    <w:rsid w:val="009D1896"/>
    <w:rsid w:val="009D1E60"/>
    <w:rsid w:val="009D2AF3"/>
    <w:rsid w:val="009D3BE5"/>
    <w:rsid w:val="009D3D1B"/>
    <w:rsid w:val="009D4A7E"/>
    <w:rsid w:val="009D55A8"/>
    <w:rsid w:val="009D5A37"/>
    <w:rsid w:val="009D5CA5"/>
    <w:rsid w:val="009D6579"/>
    <w:rsid w:val="009D75E5"/>
    <w:rsid w:val="009D7D11"/>
    <w:rsid w:val="009E04A4"/>
    <w:rsid w:val="009E161C"/>
    <w:rsid w:val="009E1825"/>
    <w:rsid w:val="009E2866"/>
    <w:rsid w:val="009E2B13"/>
    <w:rsid w:val="009E401D"/>
    <w:rsid w:val="009E4985"/>
    <w:rsid w:val="009E4CE2"/>
    <w:rsid w:val="009E5680"/>
    <w:rsid w:val="009E5AE9"/>
    <w:rsid w:val="009E5EBA"/>
    <w:rsid w:val="009E628A"/>
    <w:rsid w:val="009E66A1"/>
    <w:rsid w:val="009E7B0B"/>
    <w:rsid w:val="009E7C57"/>
    <w:rsid w:val="009F2636"/>
    <w:rsid w:val="009F28BE"/>
    <w:rsid w:val="009F3A51"/>
    <w:rsid w:val="009F3F7B"/>
    <w:rsid w:val="009F5F78"/>
    <w:rsid w:val="009F60BF"/>
    <w:rsid w:val="009F6468"/>
    <w:rsid w:val="009F6834"/>
    <w:rsid w:val="009F6B06"/>
    <w:rsid w:val="009F6DAA"/>
    <w:rsid w:val="009F74DA"/>
    <w:rsid w:val="009F7B95"/>
    <w:rsid w:val="00A00309"/>
    <w:rsid w:val="00A019D6"/>
    <w:rsid w:val="00A01B18"/>
    <w:rsid w:val="00A01DA4"/>
    <w:rsid w:val="00A01E5C"/>
    <w:rsid w:val="00A02A50"/>
    <w:rsid w:val="00A03357"/>
    <w:rsid w:val="00A03E63"/>
    <w:rsid w:val="00A04FBF"/>
    <w:rsid w:val="00A06343"/>
    <w:rsid w:val="00A06991"/>
    <w:rsid w:val="00A06D46"/>
    <w:rsid w:val="00A07A23"/>
    <w:rsid w:val="00A07DF3"/>
    <w:rsid w:val="00A102F4"/>
    <w:rsid w:val="00A10BD4"/>
    <w:rsid w:val="00A11B80"/>
    <w:rsid w:val="00A1301A"/>
    <w:rsid w:val="00A13157"/>
    <w:rsid w:val="00A13697"/>
    <w:rsid w:val="00A13853"/>
    <w:rsid w:val="00A1402D"/>
    <w:rsid w:val="00A14BE3"/>
    <w:rsid w:val="00A14EC9"/>
    <w:rsid w:val="00A14FC5"/>
    <w:rsid w:val="00A1547F"/>
    <w:rsid w:val="00A16F53"/>
    <w:rsid w:val="00A2013F"/>
    <w:rsid w:val="00A20806"/>
    <w:rsid w:val="00A20D45"/>
    <w:rsid w:val="00A2161C"/>
    <w:rsid w:val="00A21C5A"/>
    <w:rsid w:val="00A21EDD"/>
    <w:rsid w:val="00A235A3"/>
    <w:rsid w:val="00A23A87"/>
    <w:rsid w:val="00A243A8"/>
    <w:rsid w:val="00A24980"/>
    <w:rsid w:val="00A25865"/>
    <w:rsid w:val="00A269B4"/>
    <w:rsid w:val="00A26FCB"/>
    <w:rsid w:val="00A27899"/>
    <w:rsid w:val="00A30343"/>
    <w:rsid w:val="00A3041C"/>
    <w:rsid w:val="00A31EA6"/>
    <w:rsid w:val="00A3234B"/>
    <w:rsid w:val="00A325BE"/>
    <w:rsid w:val="00A32D11"/>
    <w:rsid w:val="00A32FB1"/>
    <w:rsid w:val="00A3396C"/>
    <w:rsid w:val="00A351EE"/>
    <w:rsid w:val="00A35F40"/>
    <w:rsid w:val="00A3679D"/>
    <w:rsid w:val="00A36851"/>
    <w:rsid w:val="00A3712D"/>
    <w:rsid w:val="00A37373"/>
    <w:rsid w:val="00A4007E"/>
    <w:rsid w:val="00A40738"/>
    <w:rsid w:val="00A40F5F"/>
    <w:rsid w:val="00A42226"/>
    <w:rsid w:val="00A42858"/>
    <w:rsid w:val="00A42A47"/>
    <w:rsid w:val="00A43056"/>
    <w:rsid w:val="00A44762"/>
    <w:rsid w:val="00A45DBD"/>
    <w:rsid w:val="00A460A2"/>
    <w:rsid w:val="00A461A7"/>
    <w:rsid w:val="00A4672E"/>
    <w:rsid w:val="00A476B3"/>
    <w:rsid w:val="00A500C3"/>
    <w:rsid w:val="00A509AB"/>
    <w:rsid w:val="00A50CCF"/>
    <w:rsid w:val="00A515E3"/>
    <w:rsid w:val="00A51CE8"/>
    <w:rsid w:val="00A51E27"/>
    <w:rsid w:val="00A540CE"/>
    <w:rsid w:val="00A54416"/>
    <w:rsid w:val="00A549AC"/>
    <w:rsid w:val="00A5615B"/>
    <w:rsid w:val="00A56FC6"/>
    <w:rsid w:val="00A57F6F"/>
    <w:rsid w:val="00A61014"/>
    <w:rsid w:val="00A6253C"/>
    <w:rsid w:val="00A6265B"/>
    <w:rsid w:val="00A62D77"/>
    <w:rsid w:val="00A649E9"/>
    <w:rsid w:val="00A64CBE"/>
    <w:rsid w:val="00A65250"/>
    <w:rsid w:val="00A65AA5"/>
    <w:rsid w:val="00A66EEA"/>
    <w:rsid w:val="00A67220"/>
    <w:rsid w:val="00A67C52"/>
    <w:rsid w:val="00A70865"/>
    <w:rsid w:val="00A70A0F"/>
    <w:rsid w:val="00A7207A"/>
    <w:rsid w:val="00A72B46"/>
    <w:rsid w:val="00A72C87"/>
    <w:rsid w:val="00A7330B"/>
    <w:rsid w:val="00A74239"/>
    <w:rsid w:val="00A74478"/>
    <w:rsid w:val="00A76C8B"/>
    <w:rsid w:val="00A82A11"/>
    <w:rsid w:val="00A8376B"/>
    <w:rsid w:val="00A84434"/>
    <w:rsid w:val="00A8467A"/>
    <w:rsid w:val="00A84D02"/>
    <w:rsid w:val="00A8592D"/>
    <w:rsid w:val="00A863FE"/>
    <w:rsid w:val="00A8710A"/>
    <w:rsid w:val="00A87E8F"/>
    <w:rsid w:val="00A87FD2"/>
    <w:rsid w:val="00A90E3E"/>
    <w:rsid w:val="00A9148F"/>
    <w:rsid w:val="00A92343"/>
    <w:rsid w:val="00A92419"/>
    <w:rsid w:val="00A929FF"/>
    <w:rsid w:val="00A93A76"/>
    <w:rsid w:val="00A94E87"/>
    <w:rsid w:val="00A96D58"/>
    <w:rsid w:val="00A9759F"/>
    <w:rsid w:val="00AA1025"/>
    <w:rsid w:val="00AA1543"/>
    <w:rsid w:val="00AA1611"/>
    <w:rsid w:val="00AA18D9"/>
    <w:rsid w:val="00AA1BC1"/>
    <w:rsid w:val="00AA1E58"/>
    <w:rsid w:val="00AA27D8"/>
    <w:rsid w:val="00AA2ECE"/>
    <w:rsid w:val="00AA4D87"/>
    <w:rsid w:val="00AA4FA2"/>
    <w:rsid w:val="00AA5BAA"/>
    <w:rsid w:val="00AA5E80"/>
    <w:rsid w:val="00AA5F6B"/>
    <w:rsid w:val="00AA74CD"/>
    <w:rsid w:val="00AA7870"/>
    <w:rsid w:val="00AB1175"/>
    <w:rsid w:val="00AB182D"/>
    <w:rsid w:val="00AB251F"/>
    <w:rsid w:val="00AB2960"/>
    <w:rsid w:val="00AB348B"/>
    <w:rsid w:val="00AB3C3A"/>
    <w:rsid w:val="00AB4B26"/>
    <w:rsid w:val="00AB4C1B"/>
    <w:rsid w:val="00AB4C2C"/>
    <w:rsid w:val="00AB4E06"/>
    <w:rsid w:val="00AB52B7"/>
    <w:rsid w:val="00AB59FD"/>
    <w:rsid w:val="00AB5ABC"/>
    <w:rsid w:val="00AB5D3F"/>
    <w:rsid w:val="00AB6392"/>
    <w:rsid w:val="00AB669D"/>
    <w:rsid w:val="00AC0061"/>
    <w:rsid w:val="00AC0260"/>
    <w:rsid w:val="00AC0A30"/>
    <w:rsid w:val="00AC0F07"/>
    <w:rsid w:val="00AC1132"/>
    <w:rsid w:val="00AC21F9"/>
    <w:rsid w:val="00AC2715"/>
    <w:rsid w:val="00AC2E99"/>
    <w:rsid w:val="00AC3D74"/>
    <w:rsid w:val="00AC41D1"/>
    <w:rsid w:val="00AC5665"/>
    <w:rsid w:val="00AC5E41"/>
    <w:rsid w:val="00AC60E6"/>
    <w:rsid w:val="00AC631D"/>
    <w:rsid w:val="00AC68CB"/>
    <w:rsid w:val="00AC6A38"/>
    <w:rsid w:val="00AC6B2C"/>
    <w:rsid w:val="00AC6C1C"/>
    <w:rsid w:val="00AC71AC"/>
    <w:rsid w:val="00AC73AE"/>
    <w:rsid w:val="00AC78A4"/>
    <w:rsid w:val="00AD046B"/>
    <w:rsid w:val="00AD166A"/>
    <w:rsid w:val="00AD1EF9"/>
    <w:rsid w:val="00AD20AC"/>
    <w:rsid w:val="00AD35DF"/>
    <w:rsid w:val="00AD3805"/>
    <w:rsid w:val="00AD46DF"/>
    <w:rsid w:val="00AD5039"/>
    <w:rsid w:val="00AD5BF5"/>
    <w:rsid w:val="00AD628F"/>
    <w:rsid w:val="00AD72EC"/>
    <w:rsid w:val="00AD7E01"/>
    <w:rsid w:val="00AE06D0"/>
    <w:rsid w:val="00AE0915"/>
    <w:rsid w:val="00AE1170"/>
    <w:rsid w:val="00AE1386"/>
    <w:rsid w:val="00AE142B"/>
    <w:rsid w:val="00AE1F73"/>
    <w:rsid w:val="00AE3A45"/>
    <w:rsid w:val="00AE43D4"/>
    <w:rsid w:val="00AE51FC"/>
    <w:rsid w:val="00AE5672"/>
    <w:rsid w:val="00AE7ABC"/>
    <w:rsid w:val="00AF1D24"/>
    <w:rsid w:val="00AF2E51"/>
    <w:rsid w:val="00AF42E8"/>
    <w:rsid w:val="00AF556C"/>
    <w:rsid w:val="00AF6191"/>
    <w:rsid w:val="00AF63A8"/>
    <w:rsid w:val="00B00B23"/>
    <w:rsid w:val="00B01598"/>
    <w:rsid w:val="00B01698"/>
    <w:rsid w:val="00B01D9F"/>
    <w:rsid w:val="00B025E1"/>
    <w:rsid w:val="00B025FC"/>
    <w:rsid w:val="00B02645"/>
    <w:rsid w:val="00B032F6"/>
    <w:rsid w:val="00B0497F"/>
    <w:rsid w:val="00B04B85"/>
    <w:rsid w:val="00B05079"/>
    <w:rsid w:val="00B05228"/>
    <w:rsid w:val="00B05651"/>
    <w:rsid w:val="00B06428"/>
    <w:rsid w:val="00B06837"/>
    <w:rsid w:val="00B07768"/>
    <w:rsid w:val="00B07CB9"/>
    <w:rsid w:val="00B106A4"/>
    <w:rsid w:val="00B10757"/>
    <w:rsid w:val="00B11895"/>
    <w:rsid w:val="00B1234F"/>
    <w:rsid w:val="00B12858"/>
    <w:rsid w:val="00B129B6"/>
    <w:rsid w:val="00B12EBF"/>
    <w:rsid w:val="00B1312D"/>
    <w:rsid w:val="00B1374D"/>
    <w:rsid w:val="00B1379A"/>
    <w:rsid w:val="00B13F99"/>
    <w:rsid w:val="00B13FE9"/>
    <w:rsid w:val="00B1407E"/>
    <w:rsid w:val="00B144E8"/>
    <w:rsid w:val="00B1527C"/>
    <w:rsid w:val="00B15A71"/>
    <w:rsid w:val="00B15FEA"/>
    <w:rsid w:val="00B16656"/>
    <w:rsid w:val="00B177CA"/>
    <w:rsid w:val="00B1796F"/>
    <w:rsid w:val="00B2044C"/>
    <w:rsid w:val="00B21D37"/>
    <w:rsid w:val="00B21DD1"/>
    <w:rsid w:val="00B2218C"/>
    <w:rsid w:val="00B22BD2"/>
    <w:rsid w:val="00B22E71"/>
    <w:rsid w:val="00B23908"/>
    <w:rsid w:val="00B24113"/>
    <w:rsid w:val="00B246E9"/>
    <w:rsid w:val="00B25753"/>
    <w:rsid w:val="00B25CB7"/>
    <w:rsid w:val="00B25DC1"/>
    <w:rsid w:val="00B261A9"/>
    <w:rsid w:val="00B267BC"/>
    <w:rsid w:val="00B26E27"/>
    <w:rsid w:val="00B271B6"/>
    <w:rsid w:val="00B27D34"/>
    <w:rsid w:val="00B304E1"/>
    <w:rsid w:val="00B30779"/>
    <w:rsid w:val="00B31176"/>
    <w:rsid w:val="00B313B8"/>
    <w:rsid w:val="00B31E28"/>
    <w:rsid w:val="00B327DD"/>
    <w:rsid w:val="00B3303F"/>
    <w:rsid w:val="00B33043"/>
    <w:rsid w:val="00B34523"/>
    <w:rsid w:val="00B351F3"/>
    <w:rsid w:val="00B35933"/>
    <w:rsid w:val="00B36223"/>
    <w:rsid w:val="00B3793C"/>
    <w:rsid w:val="00B37D9A"/>
    <w:rsid w:val="00B37DBF"/>
    <w:rsid w:val="00B410AC"/>
    <w:rsid w:val="00B41D9E"/>
    <w:rsid w:val="00B4499E"/>
    <w:rsid w:val="00B5005B"/>
    <w:rsid w:val="00B507D4"/>
    <w:rsid w:val="00B522B1"/>
    <w:rsid w:val="00B52A01"/>
    <w:rsid w:val="00B5334F"/>
    <w:rsid w:val="00B53514"/>
    <w:rsid w:val="00B53FFD"/>
    <w:rsid w:val="00B54230"/>
    <w:rsid w:val="00B54EF6"/>
    <w:rsid w:val="00B55375"/>
    <w:rsid w:val="00B55EAC"/>
    <w:rsid w:val="00B56133"/>
    <w:rsid w:val="00B56B99"/>
    <w:rsid w:val="00B56BB9"/>
    <w:rsid w:val="00B56BDF"/>
    <w:rsid w:val="00B57168"/>
    <w:rsid w:val="00B5797F"/>
    <w:rsid w:val="00B601EE"/>
    <w:rsid w:val="00B60259"/>
    <w:rsid w:val="00B604F3"/>
    <w:rsid w:val="00B61210"/>
    <w:rsid w:val="00B613BC"/>
    <w:rsid w:val="00B61416"/>
    <w:rsid w:val="00B6233B"/>
    <w:rsid w:val="00B63F33"/>
    <w:rsid w:val="00B649AD"/>
    <w:rsid w:val="00B67781"/>
    <w:rsid w:val="00B67941"/>
    <w:rsid w:val="00B70002"/>
    <w:rsid w:val="00B70E42"/>
    <w:rsid w:val="00B7155F"/>
    <w:rsid w:val="00B71ABC"/>
    <w:rsid w:val="00B72A3A"/>
    <w:rsid w:val="00B72B42"/>
    <w:rsid w:val="00B73B2B"/>
    <w:rsid w:val="00B745FE"/>
    <w:rsid w:val="00B7466D"/>
    <w:rsid w:val="00B75280"/>
    <w:rsid w:val="00B7634C"/>
    <w:rsid w:val="00B7655E"/>
    <w:rsid w:val="00B76B3E"/>
    <w:rsid w:val="00B772B8"/>
    <w:rsid w:val="00B7792E"/>
    <w:rsid w:val="00B80841"/>
    <w:rsid w:val="00B821C1"/>
    <w:rsid w:val="00B822BA"/>
    <w:rsid w:val="00B82712"/>
    <w:rsid w:val="00B82F3F"/>
    <w:rsid w:val="00B837C2"/>
    <w:rsid w:val="00B84772"/>
    <w:rsid w:val="00B8529D"/>
    <w:rsid w:val="00B8582D"/>
    <w:rsid w:val="00B85C37"/>
    <w:rsid w:val="00B85CD5"/>
    <w:rsid w:val="00B876CA"/>
    <w:rsid w:val="00B87EE0"/>
    <w:rsid w:val="00B90299"/>
    <w:rsid w:val="00B9051A"/>
    <w:rsid w:val="00B905ED"/>
    <w:rsid w:val="00B91274"/>
    <w:rsid w:val="00B91426"/>
    <w:rsid w:val="00B91668"/>
    <w:rsid w:val="00B9193D"/>
    <w:rsid w:val="00B91953"/>
    <w:rsid w:val="00B919E1"/>
    <w:rsid w:val="00B9229F"/>
    <w:rsid w:val="00B92F30"/>
    <w:rsid w:val="00B93539"/>
    <w:rsid w:val="00B943C7"/>
    <w:rsid w:val="00B95F58"/>
    <w:rsid w:val="00B971D7"/>
    <w:rsid w:val="00B97CCB"/>
    <w:rsid w:val="00BA0318"/>
    <w:rsid w:val="00BA0D10"/>
    <w:rsid w:val="00BA1B30"/>
    <w:rsid w:val="00BA2840"/>
    <w:rsid w:val="00BA2FBF"/>
    <w:rsid w:val="00BA305E"/>
    <w:rsid w:val="00BA347B"/>
    <w:rsid w:val="00BA3815"/>
    <w:rsid w:val="00BA3EDA"/>
    <w:rsid w:val="00BA4125"/>
    <w:rsid w:val="00BA4BD3"/>
    <w:rsid w:val="00BA522C"/>
    <w:rsid w:val="00BA5300"/>
    <w:rsid w:val="00BA54CE"/>
    <w:rsid w:val="00BA5D8C"/>
    <w:rsid w:val="00BA6A56"/>
    <w:rsid w:val="00BA6F5A"/>
    <w:rsid w:val="00BA7B53"/>
    <w:rsid w:val="00BB0063"/>
    <w:rsid w:val="00BB110B"/>
    <w:rsid w:val="00BB11E9"/>
    <w:rsid w:val="00BB1487"/>
    <w:rsid w:val="00BB1C25"/>
    <w:rsid w:val="00BB209E"/>
    <w:rsid w:val="00BB2BE3"/>
    <w:rsid w:val="00BB2CBB"/>
    <w:rsid w:val="00BB2F33"/>
    <w:rsid w:val="00BB3F2B"/>
    <w:rsid w:val="00BB54B0"/>
    <w:rsid w:val="00BB56C5"/>
    <w:rsid w:val="00BB646C"/>
    <w:rsid w:val="00BB64B8"/>
    <w:rsid w:val="00BB6C41"/>
    <w:rsid w:val="00BB7381"/>
    <w:rsid w:val="00BB767E"/>
    <w:rsid w:val="00BC1356"/>
    <w:rsid w:val="00BC211D"/>
    <w:rsid w:val="00BC245A"/>
    <w:rsid w:val="00BC2B76"/>
    <w:rsid w:val="00BC33E3"/>
    <w:rsid w:val="00BC35DE"/>
    <w:rsid w:val="00BC4091"/>
    <w:rsid w:val="00BC42A3"/>
    <w:rsid w:val="00BC54D9"/>
    <w:rsid w:val="00BC6918"/>
    <w:rsid w:val="00BC78FB"/>
    <w:rsid w:val="00BC7D1D"/>
    <w:rsid w:val="00BD01FB"/>
    <w:rsid w:val="00BD28BD"/>
    <w:rsid w:val="00BD2B63"/>
    <w:rsid w:val="00BD4944"/>
    <w:rsid w:val="00BD4A24"/>
    <w:rsid w:val="00BD63D1"/>
    <w:rsid w:val="00BD6E7B"/>
    <w:rsid w:val="00BD6EAB"/>
    <w:rsid w:val="00BD7A64"/>
    <w:rsid w:val="00BD7FC7"/>
    <w:rsid w:val="00BE049B"/>
    <w:rsid w:val="00BE0D4E"/>
    <w:rsid w:val="00BE21AE"/>
    <w:rsid w:val="00BE26E8"/>
    <w:rsid w:val="00BE3961"/>
    <w:rsid w:val="00BE433D"/>
    <w:rsid w:val="00BE466D"/>
    <w:rsid w:val="00BE4B24"/>
    <w:rsid w:val="00BE5664"/>
    <w:rsid w:val="00BE61AC"/>
    <w:rsid w:val="00BE718F"/>
    <w:rsid w:val="00BE79F2"/>
    <w:rsid w:val="00BE7C7E"/>
    <w:rsid w:val="00BF0011"/>
    <w:rsid w:val="00BF0245"/>
    <w:rsid w:val="00BF176B"/>
    <w:rsid w:val="00BF23C3"/>
    <w:rsid w:val="00BF286C"/>
    <w:rsid w:val="00BF2B61"/>
    <w:rsid w:val="00BF2FA7"/>
    <w:rsid w:val="00BF3BA4"/>
    <w:rsid w:val="00BF4290"/>
    <w:rsid w:val="00BF42B8"/>
    <w:rsid w:val="00BF4795"/>
    <w:rsid w:val="00BF4CCE"/>
    <w:rsid w:val="00BF5E9C"/>
    <w:rsid w:val="00BF600F"/>
    <w:rsid w:val="00BF694F"/>
    <w:rsid w:val="00BF7BBD"/>
    <w:rsid w:val="00BF7CFB"/>
    <w:rsid w:val="00C00560"/>
    <w:rsid w:val="00C0177E"/>
    <w:rsid w:val="00C018F4"/>
    <w:rsid w:val="00C019CA"/>
    <w:rsid w:val="00C01C3E"/>
    <w:rsid w:val="00C01D2A"/>
    <w:rsid w:val="00C01E16"/>
    <w:rsid w:val="00C01E79"/>
    <w:rsid w:val="00C0220F"/>
    <w:rsid w:val="00C02AA2"/>
    <w:rsid w:val="00C035F6"/>
    <w:rsid w:val="00C0457D"/>
    <w:rsid w:val="00C05268"/>
    <w:rsid w:val="00C0550C"/>
    <w:rsid w:val="00C055FF"/>
    <w:rsid w:val="00C05796"/>
    <w:rsid w:val="00C05DA4"/>
    <w:rsid w:val="00C066C1"/>
    <w:rsid w:val="00C0678F"/>
    <w:rsid w:val="00C06BC3"/>
    <w:rsid w:val="00C073A3"/>
    <w:rsid w:val="00C10095"/>
    <w:rsid w:val="00C100F1"/>
    <w:rsid w:val="00C105EB"/>
    <w:rsid w:val="00C1068B"/>
    <w:rsid w:val="00C114EB"/>
    <w:rsid w:val="00C11B41"/>
    <w:rsid w:val="00C11CA5"/>
    <w:rsid w:val="00C1410E"/>
    <w:rsid w:val="00C14734"/>
    <w:rsid w:val="00C14F14"/>
    <w:rsid w:val="00C14F6E"/>
    <w:rsid w:val="00C20375"/>
    <w:rsid w:val="00C20406"/>
    <w:rsid w:val="00C20DC9"/>
    <w:rsid w:val="00C21D9B"/>
    <w:rsid w:val="00C232A0"/>
    <w:rsid w:val="00C23384"/>
    <w:rsid w:val="00C256F2"/>
    <w:rsid w:val="00C25BB3"/>
    <w:rsid w:val="00C26046"/>
    <w:rsid w:val="00C260D9"/>
    <w:rsid w:val="00C261E6"/>
    <w:rsid w:val="00C26C01"/>
    <w:rsid w:val="00C26FE2"/>
    <w:rsid w:val="00C2721C"/>
    <w:rsid w:val="00C302B7"/>
    <w:rsid w:val="00C3081B"/>
    <w:rsid w:val="00C309B9"/>
    <w:rsid w:val="00C31266"/>
    <w:rsid w:val="00C315A8"/>
    <w:rsid w:val="00C31648"/>
    <w:rsid w:val="00C31C06"/>
    <w:rsid w:val="00C321E0"/>
    <w:rsid w:val="00C33A3C"/>
    <w:rsid w:val="00C34E9D"/>
    <w:rsid w:val="00C35048"/>
    <w:rsid w:val="00C35785"/>
    <w:rsid w:val="00C35DAA"/>
    <w:rsid w:val="00C36082"/>
    <w:rsid w:val="00C362FD"/>
    <w:rsid w:val="00C3682D"/>
    <w:rsid w:val="00C369B6"/>
    <w:rsid w:val="00C37938"/>
    <w:rsid w:val="00C400E3"/>
    <w:rsid w:val="00C40181"/>
    <w:rsid w:val="00C402F4"/>
    <w:rsid w:val="00C406AC"/>
    <w:rsid w:val="00C40846"/>
    <w:rsid w:val="00C413F4"/>
    <w:rsid w:val="00C41EC3"/>
    <w:rsid w:val="00C4241F"/>
    <w:rsid w:val="00C43BDE"/>
    <w:rsid w:val="00C43CC9"/>
    <w:rsid w:val="00C451C6"/>
    <w:rsid w:val="00C45C7C"/>
    <w:rsid w:val="00C45F7F"/>
    <w:rsid w:val="00C46A8B"/>
    <w:rsid w:val="00C50F60"/>
    <w:rsid w:val="00C51231"/>
    <w:rsid w:val="00C5216A"/>
    <w:rsid w:val="00C521EE"/>
    <w:rsid w:val="00C523EA"/>
    <w:rsid w:val="00C5271D"/>
    <w:rsid w:val="00C52878"/>
    <w:rsid w:val="00C53F69"/>
    <w:rsid w:val="00C548A2"/>
    <w:rsid w:val="00C54F78"/>
    <w:rsid w:val="00C55F96"/>
    <w:rsid w:val="00C567AA"/>
    <w:rsid w:val="00C6005F"/>
    <w:rsid w:val="00C60AB8"/>
    <w:rsid w:val="00C616C6"/>
    <w:rsid w:val="00C61AAC"/>
    <w:rsid w:val="00C62652"/>
    <w:rsid w:val="00C640D6"/>
    <w:rsid w:val="00C64164"/>
    <w:rsid w:val="00C646E1"/>
    <w:rsid w:val="00C650BA"/>
    <w:rsid w:val="00C668B8"/>
    <w:rsid w:val="00C66F49"/>
    <w:rsid w:val="00C67059"/>
    <w:rsid w:val="00C6718B"/>
    <w:rsid w:val="00C6789D"/>
    <w:rsid w:val="00C67C98"/>
    <w:rsid w:val="00C67DD3"/>
    <w:rsid w:val="00C67E15"/>
    <w:rsid w:val="00C7014A"/>
    <w:rsid w:val="00C70CAD"/>
    <w:rsid w:val="00C71244"/>
    <w:rsid w:val="00C72223"/>
    <w:rsid w:val="00C723A1"/>
    <w:rsid w:val="00C736C3"/>
    <w:rsid w:val="00C741B0"/>
    <w:rsid w:val="00C743D6"/>
    <w:rsid w:val="00C74864"/>
    <w:rsid w:val="00C748FD"/>
    <w:rsid w:val="00C74C88"/>
    <w:rsid w:val="00C74D36"/>
    <w:rsid w:val="00C753B8"/>
    <w:rsid w:val="00C753CB"/>
    <w:rsid w:val="00C75F75"/>
    <w:rsid w:val="00C7649C"/>
    <w:rsid w:val="00C7729D"/>
    <w:rsid w:val="00C802F7"/>
    <w:rsid w:val="00C8160F"/>
    <w:rsid w:val="00C83630"/>
    <w:rsid w:val="00C83B26"/>
    <w:rsid w:val="00C83CF9"/>
    <w:rsid w:val="00C840CC"/>
    <w:rsid w:val="00C84437"/>
    <w:rsid w:val="00C84AF2"/>
    <w:rsid w:val="00C859CC"/>
    <w:rsid w:val="00C85F3B"/>
    <w:rsid w:val="00C85FE6"/>
    <w:rsid w:val="00C866CF"/>
    <w:rsid w:val="00C86714"/>
    <w:rsid w:val="00C870D8"/>
    <w:rsid w:val="00C87CF0"/>
    <w:rsid w:val="00C87FFB"/>
    <w:rsid w:val="00C9039E"/>
    <w:rsid w:val="00C9143C"/>
    <w:rsid w:val="00C92078"/>
    <w:rsid w:val="00C921D7"/>
    <w:rsid w:val="00C93AB4"/>
    <w:rsid w:val="00C93E6A"/>
    <w:rsid w:val="00C94A49"/>
    <w:rsid w:val="00C950AC"/>
    <w:rsid w:val="00C950EC"/>
    <w:rsid w:val="00C95199"/>
    <w:rsid w:val="00C9573D"/>
    <w:rsid w:val="00C972DE"/>
    <w:rsid w:val="00CA0254"/>
    <w:rsid w:val="00CA0F7A"/>
    <w:rsid w:val="00CA1339"/>
    <w:rsid w:val="00CA1779"/>
    <w:rsid w:val="00CA363C"/>
    <w:rsid w:val="00CA39FC"/>
    <w:rsid w:val="00CA59A0"/>
    <w:rsid w:val="00CA5F2F"/>
    <w:rsid w:val="00CA6F95"/>
    <w:rsid w:val="00CA70BC"/>
    <w:rsid w:val="00CB03F4"/>
    <w:rsid w:val="00CB08E5"/>
    <w:rsid w:val="00CB1058"/>
    <w:rsid w:val="00CB177B"/>
    <w:rsid w:val="00CB1DB6"/>
    <w:rsid w:val="00CB22A2"/>
    <w:rsid w:val="00CB23C8"/>
    <w:rsid w:val="00CB243E"/>
    <w:rsid w:val="00CB2852"/>
    <w:rsid w:val="00CB43FB"/>
    <w:rsid w:val="00CB654E"/>
    <w:rsid w:val="00CB685F"/>
    <w:rsid w:val="00CB6B2C"/>
    <w:rsid w:val="00CB705E"/>
    <w:rsid w:val="00CC00E4"/>
    <w:rsid w:val="00CC01CD"/>
    <w:rsid w:val="00CC0773"/>
    <w:rsid w:val="00CC0BFB"/>
    <w:rsid w:val="00CC0FAE"/>
    <w:rsid w:val="00CC1AC9"/>
    <w:rsid w:val="00CC270A"/>
    <w:rsid w:val="00CC2AC5"/>
    <w:rsid w:val="00CC2CDB"/>
    <w:rsid w:val="00CC2D98"/>
    <w:rsid w:val="00CC2E0E"/>
    <w:rsid w:val="00CC3013"/>
    <w:rsid w:val="00CC3342"/>
    <w:rsid w:val="00CC3C00"/>
    <w:rsid w:val="00CC4435"/>
    <w:rsid w:val="00CC51C7"/>
    <w:rsid w:val="00CC6F42"/>
    <w:rsid w:val="00CC758E"/>
    <w:rsid w:val="00CD0599"/>
    <w:rsid w:val="00CD0EAB"/>
    <w:rsid w:val="00CD0F08"/>
    <w:rsid w:val="00CD13DD"/>
    <w:rsid w:val="00CD1762"/>
    <w:rsid w:val="00CD20E5"/>
    <w:rsid w:val="00CD28D4"/>
    <w:rsid w:val="00CD2C59"/>
    <w:rsid w:val="00CD2E20"/>
    <w:rsid w:val="00CD344A"/>
    <w:rsid w:val="00CD4227"/>
    <w:rsid w:val="00CD4457"/>
    <w:rsid w:val="00CD4528"/>
    <w:rsid w:val="00CD4541"/>
    <w:rsid w:val="00CD58AF"/>
    <w:rsid w:val="00CD6229"/>
    <w:rsid w:val="00CD6473"/>
    <w:rsid w:val="00CD7C75"/>
    <w:rsid w:val="00CD7CDC"/>
    <w:rsid w:val="00CD7F05"/>
    <w:rsid w:val="00CE0E51"/>
    <w:rsid w:val="00CE1606"/>
    <w:rsid w:val="00CE1D97"/>
    <w:rsid w:val="00CE2056"/>
    <w:rsid w:val="00CE2416"/>
    <w:rsid w:val="00CE3010"/>
    <w:rsid w:val="00CE3A7D"/>
    <w:rsid w:val="00CE4770"/>
    <w:rsid w:val="00CE590A"/>
    <w:rsid w:val="00CE6000"/>
    <w:rsid w:val="00CE7AAF"/>
    <w:rsid w:val="00CF099E"/>
    <w:rsid w:val="00CF0A2B"/>
    <w:rsid w:val="00CF14F4"/>
    <w:rsid w:val="00CF1622"/>
    <w:rsid w:val="00CF164E"/>
    <w:rsid w:val="00CF1922"/>
    <w:rsid w:val="00CF1987"/>
    <w:rsid w:val="00CF1D88"/>
    <w:rsid w:val="00CF238B"/>
    <w:rsid w:val="00CF245A"/>
    <w:rsid w:val="00CF2828"/>
    <w:rsid w:val="00CF3035"/>
    <w:rsid w:val="00CF33D5"/>
    <w:rsid w:val="00CF3979"/>
    <w:rsid w:val="00CF3C1B"/>
    <w:rsid w:val="00CF4E91"/>
    <w:rsid w:val="00CF505B"/>
    <w:rsid w:val="00CF550F"/>
    <w:rsid w:val="00CF557D"/>
    <w:rsid w:val="00CF5B95"/>
    <w:rsid w:val="00CF7371"/>
    <w:rsid w:val="00CF77F6"/>
    <w:rsid w:val="00D00226"/>
    <w:rsid w:val="00D00242"/>
    <w:rsid w:val="00D0104E"/>
    <w:rsid w:val="00D01731"/>
    <w:rsid w:val="00D0174C"/>
    <w:rsid w:val="00D01BA0"/>
    <w:rsid w:val="00D01CE7"/>
    <w:rsid w:val="00D0218C"/>
    <w:rsid w:val="00D0281A"/>
    <w:rsid w:val="00D02A3D"/>
    <w:rsid w:val="00D0332E"/>
    <w:rsid w:val="00D062D1"/>
    <w:rsid w:val="00D06347"/>
    <w:rsid w:val="00D06BD9"/>
    <w:rsid w:val="00D0731F"/>
    <w:rsid w:val="00D10745"/>
    <w:rsid w:val="00D11D66"/>
    <w:rsid w:val="00D122FE"/>
    <w:rsid w:val="00D15C80"/>
    <w:rsid w:val="00D1607D"/>
    <w:rsid w:val="00D16F6D"/>
    <w:rsid w:val="00D1735F"/>
    <w:rsid w:val="00D175C8"/>
    <w:rsid w:val="00D20A5B"/>
    <w:rsid w:val="00D20C60"/>
    <w:rsid w:val="00D213E8"/>
    <w:rsid w:val="00D2240D"/>
    <w:rsid w:val="00D234A5"/>
    <w:rsid w:val="00D236C8"/>
    <w:rsid w:val="00D23814"/>
    <w:rsid w:val="00D23E04"/>
    <w:rsid w:val="00D26A33"/>
    <w:rsid w:val="00D27329"/>
    <w:rsid w:val="00D27472"/>
    <w:rsid w:val="00D30C58"/>
    <w:rsid w:val="00D314C7"/>
    <w:rsid w:val="00D31A17"/>
    <w:rsid w:val="00D32DE8"/>
    <w:rsid w:val="00D34BAB"/>
    <w:rsid w:val="00D3557A"/>
    <w:rsid w:val="00D35F5C"/>
    <w:rsid w:val="00D362C9"/>
    <w:rsid w:val="00D36870"/>
    <w:rsid w:val="00D36E5F"/>
    <w:rsid w:val="00D37026"/>
    <w:rsid w:val="00D3770B"/>
    <w:rsid w:val="00D3794B"/>
    <w:rsid w:val="00D37CCA"/>
    <w:rsid w:val="00D37D62"/>
    <w:rsid w:val="00D41271"/>
    <w:rsid w:val="00D41B49"/>
    <w:rsid w:val="00D41BB2"/>
    <w:rsid w:val="00D42075"/>
    <w:rsid w:val="00D4256E"/>
    <w:rsid w:val="00D42B8B"/>
    <w:rsid w:val="00D42E0C"/>
    <w:rsid w:val="00D45336"/>
    <w:rsid w:val="00D466B0"/>
    <w:rsid w:val="00D472E9"/>
    <w:rsid w:val="00D47892"/>
    <w:rsid w:val="00D47CC2"/>
    <w:rsid w:val="00D47FE7"/>
    <w:rsid w:val="00D51062"/>
    <w:rsid w:val="00D51301"/>
    <w:rsid w:val="00D5151B"/>
    <w:rsid w:val="00D51A1E"/>
    <w:rsid w:val="00D522E3"/>
    <w:rsid w:val="00D55219"/>
    <w:rsid w:val="00D55AF7"/>
    <w:rsid w:val="00D5777F"/>
    <w:rsid w:val="00D57E09"/>
    <w:rsid w:val="00D60652"/>
    <w:rsid w:val="00D606BD"/>
    <w:rsid w:val="00D60753"/>
    <w:rsid w:val="00D612D7"/>
    <w:rsid w:val="00D61490"/>
    <w:rsid w:val="00D627B6"/>
    <w:rsid w:val="00D629E9"/>
    <w:rsid w:val="00D64809"/>
    <w:rsid w:val="00D65293"/>
    <w:rsid w:val="00D65613"/>
    <w:rsid w:val="00D658B3"/>
    <w:rsid w:val="00D66759"/>
    <w:rsid w:val="00D6710C"/>
    <w:rsid w:val="00D676B3"/>
    <w:rsid w:val="00D678BC"/>
    <w:rsid w:val="00D7001D"/>
    <w:rsid w:val="00D7020E"/>
    <w:rsid w:val="00D70476"/>
    <w:rsid w:val="00D71D2B"/>
    <w:rsid w:val="00D71DAB"/>
    <w:rsid w:val="00D72EF6"/>
    <w:rsid w:val="00D73458"/>
    <w:rsid w:val="00D73467"/>
    <w:rsid w:val="00D73633"/>
    <w:rsid w:val="00D742CB"/>
    <w:rsid w:val="00D74435"/>
    <w:rsid w:val="00D75C16"/>
    <w:rsid w:val="00D75FB2"/>
    <w:rsid w:val="00D76148"/>
    <w:rsid w:val="00D771B9"/>
    <w:rsid w:val="00D8010F"/>
    <w:rsid w:val="00D8036B"/>
    <w:rsid w:val="00D8119F"/>
    <w:rsid w:val="00D84896"/>
    <w:rsid w:val="00D84EE8"/>
    <w:rsid w:val="00D85317"/>
    <w:rsid w:val="00D86753"/>
    <w:rsid w:val="00D875D0"/>
    <w:rsid w:val="00D87B59"/>
    <w:rsid w:val="00D908F2"/>
    <w:rsid w:val="00D939AF"/>
    <w:rsid w:val="00D96036"/>
    <w:rsid w:val="00D960AA"/>
    <w:rsid w:val="00D96B08"/>
    <w:rsid w:val="00D96F1C"/>
    <w:rsid w:val="00D97797"/>
    <w:rsid w:val="00D97A21"/>
    <w:rsid w:val="00DA017E"/>
    <w:rsid w:val="00DA1483"/>
    <w:rsid w:val="00DA19B4"/>
    <w:rsid w:val="00DA1EE7"/>
    <w:rsid w:val="00DA2452"/>
    <w:rsid w:val="00DA2A33"/>
    <w:rsid w:val="00DA3070"/>
    <w:rsid w:val="00DA40FB"/>
    <w:rsid w:val="00DA4516"/>
    <w:rsid w:val="00DA4AB5"/>
    <w:rsid w:val="00DA4EFA"/>
    <w:rsid w:val="00DA5321"/>
    <w:rsid w:val="00DA5C99"/>
    <w:rsid w:val="00DA6CDA"/>
    <w:rsid w:val="00DA6E3C"/>
    <w:rsid w:val="00DA70AF"/>
    <w:rsid w:val="00DA7B55"/>
    <w:rsid w:val="00DB18B5"/>
    <w:rsid w:val="00DB1993"/>
    <w:rsid w:val="00DB240C"/>
    <w:rsid w:val="00DB251E"/>
    <w:rsid w:val="00DB439F"/>
    <w:rsid w:val="00DB4402"/>
    <w:rsid w:val="00DB4724"/>
    <w:rsid w:val="00DB4A7E"/>
    <w:rsid w:val="00DB4DAA"/>
    <w:rsid w:val="00DB5532"/>
    <w:rsid w:val="00DB59F1"/>
    <w:rsid w:val="00DB5E35"/>
    <w:rsid w:val="00DB64C5"/>
    <w:rsid w:val="00DB6800"/>
    <w:rsid w:val="00DB68D7"/>
    <w:rsid w:val="00DB6CBE"/>
    <w:rsid w:val="00DB7B16"/>
    <w:rsid w:val="00DC1298"/>
    <w:rsid w:val="00DC1830"/>
    <w:rsid w:val="00DC4051"/>
    <w:rsid w:val="00DC46B5"/>
    <w:rsid w:val="00DC4B11"/>
    <w:rsid w:val="00DC4EEE"/>
    <w:rsid w:val="00DC5189"/>
    <w:rsid w:val="00DC550E"/>
    <w:rsid w:val="00DC55DE"/>
    <w:rsid w:val="00DC57F7"/>
    <w:rsid w:val="00DC5AB1"/>
    <w:rsid w:val="00DC5C5E"/>
    <w:rsid w:val="00DC60A4"/>
    <w:rsid w:val="00DC6C37"/>
    <w:rsid w:val="00DC736F"/>
    <w:rsid w:val="00DD04F2"/>
    <w:rsid w:val="00DD0950"/>
    <w:rsid w:val="00DD0AAE"/>
    <w:rsid w:val="00DD0F3A"/>
    <w:rsid w:val="00DD10A0"/>
    <w:rsid w:val="00DD1830"/>
    <w:rsid w:val="00DD198F"/>
    <w:rsid w:val="00DD2FD9"/>
    <w:rsid w:val="00DD3920"/>
    <w:rsid w:val="00DD3C53"/>
    <w:rsid w:val="00DD4F0B"/>
    <w:rsid w:val="00DD505A"/>
    <w:rsid w:val="00DD5787"/>
    <w:rsid w:val="00DD578E"/>
    <w:rsid w:val="00DD69ED"/>
    <w:rsid w:val="00DE015E"/>
    <w:rsid w:val="00DE0D57"/>
    <w:rsid w:val="00DE10BF"/>
    <w:rsid w:val="00DE1CC0"/>
    <w:rsid w:val="00DE2608"/>
    <w:rsid w:val="00DE4D5C"/>
    <w:rsid w:val="00DE4DEE"/>
    <w:rsid w:val="00DE5898"/>
    <w:rsid w:val="00DE5AA6"/>
    <w:rsid w:val="00DE627F"/>
    <w:rsid w:val="00DE6811"/>
    <w:rsid w:val="00DE6984"/>
    <w:rsid w:val="00DE6E18"/>
    <w:rsid w:val="00DE75D6"/>
    <w:rsid w:val="00DE7DFD"/>
    <w:rsid w:val="00DE7F50"/>
    <w:rsid w:val="00DF01CD"/>
    <w:rsid w:val="00DF0221"/>
    <w:rsid w:val="00DF0A71"/>
    <w:rsid w:val="00DF0DED"/>
    <w:rsid w:val="00DF122D"/>
    <w:rsid w:val="00DF1871"/>
    <w:rsid w:val="00DF1DA4"/>
    <w:rsid w:val="00DF37EB"/>
    <w:rsid w:val="00DF3C88"/>
    <w:rsid w:val="00DF5D2C"/>
    <w:rsid w:val="00DF727E"/>
    <w:rsid w:val="00DF74D5"/>
    <w:rsid w:val="00DF7FC9"/>
    <w:rsid w:val="00E0157F"/>
    <w:rsid w:val="00E026BB"/>
    <w:rsid w:val="00E038EB"/>
    <w:rsid w:val="00E04A00"/>
    <w:rsid w:val="00E051AE"/>
    <w:rsid w:val="00E07479"/>
    <w:rsid w:val="00E1046B"/>
    <w:rsid w:val="00E11473"/>
    <w:rsid w:val="00E11DCE"/>
    <w:rsid w:val="00E11DF9"/>
    <w:rsid w:val="00E13125"/>
    <w:rsid w:val="00E13761"/>
    <w:rsid w:val="00E13F53"/>
    <w:rsid w:val="00E14117"/>
    <w:rsid w:val="00E147C3"/>
    <w:rsid w:val="00E14E8A"/>
    <w:rsid w:val="00E159DD"/>
    <w:rsid w:val="00E1706E"/>
    <w:rsid w:val="00E20186"/>
    <w:rsid w:val="00E201B2"/>
    <w:rsid w:val="00E2027E"/>
    <w:rsid w:val="00E20C04"/>
    <w:rsid w:val="00E20D88"/>
    <w:rsid w:val="00E21515"/>
    <w:rsid w:val="00E21CFF"/>
    <w:rsid w:val="00E2295A"/>
    <w:rsid w:val="00E22DD7"/>
    <w:rsid w:val="00E22E42"/>
    <w:rsid w:val="00E23775"/>
    <w:rsid w:val="00E23AEE"/>
    <w:rsid w:val="00E246DE"/>
    <w:rsid w:val="00E25190"/>
    <w:rsid w:val="00E25873"/>
    <w:rsid w:val="00E262A8"/>
    <w:rsid w:val="00E26ED4"/>
    <w:rsid w:val="00E272C9"/>
    <w:rsid w:val="00E3020A"/>
    <w:rsid w:val="00E3025F"/>
    <w:rsid w:val="00E3037A"/>
    <w:rsid w:val="00E31331"/>
    <w:rsid w:val="00E31B39"/>
    <w:rsid w:val="00E32856"/>
    <w:rsid w:val="00E32861"/>
    <w:rsid w:val="00E33345"/>
    <w:rsid w:val="00E35504"/>
    <w:rsid w:val="00E37173"/>
    <w:rsid w:val="00E377FF"/>
    <w:rsid w:val="00E37FD9"/>
    <w:rsid w:val="00E403B9"/>
    <w:rsid w:val="00E40794"/>
    <w:rsid w:val="00E40DDC"/>
    <w:rsid w:val="00E412FF"/>
    <w:rsid w:val="00E415BD"/>
    <w:rsid w:val="00E41691"/>
    <w:rsid w:val="00E41968"/>
    <w:rsid w:val="00E41ED3"/>
    <w:rsid w:val="00E41F23"/>
    <w:rsid w:val="00E4367E"/>
    <w:rsid w:val="00E436CB"/>
    <w:rsid w:val="00E43717"/>
    <w:rsid w:val="00E4525C"/>
    <w:rsid w:val="00E454FB"/>
    <w:rsid w:val="00E45B33"/>
    <w:rsid w:val="00E462AE"/>
    <w:rsid w:val="00E4656B"/>
    <w:rsid w:val="00E47A9A"/>
    <w:rsid w:val="00E502EA"/>
    <w:rsid w:val="00E5037E"/>
    <w:rsid w:val="00E504D9"/>
    <w:rsid w:val="00E51242"/>
    <w:rsid w:val="00E5171D"/>
    <w:rsid w:val="00E51BAF"/>
    <w:rsid w:val="00E525EE"/>
    <w:rsid w:val="00E52826"/>
    <w:rsid w:val="00E52F93"/>
    <w:rsid w:val="00E538B6"/>
    <w:rsid w:val="00E53C90"/>
    <w:rsid w:val="00E5422D"/>
    <w:rsid w:val="00E54AE1"/>
    <w:rsid w:val="00E550F5"/>
    <w:rsid w:val="00E56523"/>
    <w:rsid w:val="00E577B4"/>
    <w:rsid w:val="00E60093"/>
    <w:rsid w:val="00E606C4"/>
    <w:rsid w:val="00E60A97"/>
    <w:rsid w:val="00E61543"/>
    <w:rsid w:val="00E61682"/>
    <w:rsid w:val="00E61693"/>
    <w:rsid w:val="00E61B59"/>
    <w:rsid w:val="00E62106"/>
    <w:rsid w:val="00E62B94"/>
    <w:rsid w:val="00E63AFE"/>
    <w:rsid w:val="00E63D96"/>
    <w:rsid w:val="00E644B6"/>
    <w:rsid w:val="00E64B88"/>
    <w:rsid w:val="00E65D61"/>
    <w:rsid w:val="00E67793"/>
    <w:rsid w:val="00E67BBA"/>
    <w:rsid w:val="00E67E41"/>
    <w:rsid w:val="00E70047"/>
    <w:rsid w:val="00E70B9C"/>
    <w:rsid w:val="00E71A81"/>
    <w:rsid w:val="00E71D9F"/>
    <w:rsid w:val="00E725C0"/>
    <w:rsid w:val="00E729B4"/>
    <w:rsid w:val="00E72A86"/>
    <w:rsid w:val="00E7386E"/>
    <w:rsid w:val="00E739F3"/>
    <w:rsid w:val="00E75A36"/>
    <w:rsid w:val="00E762E5"/>
    <w:rsid w:val="00E76FA6"/>
    <w:rsid w:val="00E804E6"/>
    <w:rsid w:val="00E80578"/>
    <w:rsid w:val="00E81051"/>
    <w:rsid w:val="00E811B3"/>
    <w:rsid w:val="00E82103"/>
    <w:rsid w:val="00E82399"/>
    <w:rsid w:val="00E82F01"/>
    <w:rsid w:val="00E8301C"/>
    <w:rsid w:val="00E83D33"/>
    <w:rsid w:val="00E84C02"/>
    <w:rsid w:val="00E91A76"/>
    <w:rsid w:val="00E92234"/>
    <w:rsid w:val="00E92840"/>
    <w:rsid w:val="00E9299D"/>
    <w:rsid w:val="00E92AA0"/>
    <w:rsid w:val="00E93C4A"/>
    <w:rsid w:val="00E94381"/>
    <w:rsid w:val="00E948A8"/>
    <w:rsid w:val="00E94D36"/>
    <w:rsid w:val="00E95A73"/>
    <w:rsid w:val="00E95FC1"/>
    <w:rsid w:val="00EA0129"/>
    <w:rsid w:val="00EA0373"/>
    <w:rsid w:val="00EA078A"/>
    <w:rsid w:val="00EA0F6B"/>
    <w:rsid w:val="00EA12B2"/>
    <w:rsid w:val="00EA2898"/>
    <w:rsid w:val="00EA4756"/>
    <w:rsid w:val="00EA47B7"/>
    <w:rsid w:val="00EA4953"/>
    <w:rsid w:val="00EA51B0"/>
    <w:rsid w:val="00EA5CE5"/>
    <w:rsid w:val="00EA63A7"/>
    <w:rsid w:val="00EA6989"/>
    <w:rsid w:val="00EA6E65"/>
    <w:rsid w:val="00EB007E"/>
    <w:rsid w:val="00EB056E"/>
    <w:rsid w:val="00EB0CB8"/>
    <w:rsid w:val="00EB2208"/>
    <w:rsid w:val="00EB296A"/>
    <w:rsid w:val="00EB2BC8"/>
    <w:rsid w:val="00EB31FD"/>
    <w:rsid w:val="00EB33AC"/>
    <w:rsid w:val="00EB3F1E"/>
    <w:rsid w:val="00EB456E"/>
    <w:rsid w:val="00EB49C5"/>
    <w:rsid w:val="00EB4A1C"/>
    <w:rsid w:val="00EB62AE"/>
    <w:rsid w:val="00EB62FE"/>
    <w:rsid w:val="00EB637B"/>
    <w:rsid w:val="00EB701E"/>
    <w:rsid w:val="00EC0458"/>
    <w:rsid w:val="00EC04EA"/>
    <w:rsid w:val="00EC3E3F"/>
    <w:rsid w:val="00EC3EA3"/>
    <w:rsid w:val="00EC5512"/>
    <w:rsid w:val="00EC5671"/>
    <w:rsid w:val="00EC5912"/>
    <w:rsid w:val="00EC7EE9"/>
    <w:rsid w:val="00ED0742"/>
    <w:rsid w:val="00ED136A"/>
    <w:rsid w:val="00ED17CF"/>
    <w:rsid w:val="00ED28F5"/>
    <w:rsid w:val="00ED2974"/>
    <w:rsid w:val="00ED3132"/>
    <w:rsid w:val="00ED3843"/>
    <w:rsid w:val="00ED4354"/>
    <w:rsid w:val="00ED4774"/>
    <w:rsid w:val="00ED5611"/>
    <w:rsid w:val="00ED72B2"/>
    <w:rsid w:val="00EE02C8"/>
    <w:rsid w:val="00EE08AD"/>
    <w:rsid w:val="00EE0CDF"/>
    <w:rsid w:val="00EE22E9"/>
    <w:rsid w:val="00EE2678"/>
    <w:rsid w:val="00EE2761"/>
    <w:rsid w:val="00EE2775"/>
    <w:rsid w:val="00EE2865"/>
    <w:rsid w:val="00EE29FA"/>
    <w:rsid w:val="00EE3D9B"/>
    <w:rsid w:val="00EE3D9D"/>
    <w:rsid w:val="00EE433A"/>
    <w:rsid w:val="00EE4F60"/>
    <w:rsid w:val="00EE5A79"/>
    <w:rsid w:val="00EE5CE9"/>
    <w:rsid w:val="00EE625E"/>
    <w:rsid w:val="00EE6886"/>
    <w:rsid w:val="00EE76B2"/>
    <w:rsid w:val="00EE7DDF"/>
    <w:rsid w:val="00EF0032"/>
    <w:rsid w:val="00EF058D"/>
    <w:rsid w:val="00EF0A12"/>
    <w:rsid w:val="00EF0FE2"/>
    <w:rsid w:val="00EF12BD"/>
    <w:rsid w:val="00EF2470"/>
    <w:rsid w:val="00EF28A7"/>
    <w:rsid w:val="00EF2EA0"/>
    <w:rsid w:val="00EF4EDD"/>
    <w:rsid w:val="00EF5C76"/>
    <w:rsid w:val="00EF5C78"/>
    <w:rsid w:val="00EF6649"/>
    <w:rsid w:val="00EF7099"/>
    <w:rsid w:val="00F001C9"/>
    <w:rsid w:val="00F00CD0"/>
    <w:rsid w:val="00F00EF2"/>
    <w:rsid w:val="00F01575"/>
    <w:rsid w:val="00F01B8B"/>
    <w:rsid w:val="00F02546"/>
    <w:rsid w:val="00F02C3A"/>
    <w:rsid w:val="00F03B24"/>
    <w:rsid w:val="00F03E94"/>
    <w:rsid w:val="00F04228"/>
    <w:rsid w:val="00F04928"/>
    <w:rsid w:val="00F04B5A"/>
    <w:rsid w:val="00F04E93"/>
    <w:rsid w:val="00F05686"/>
    <w:rsid w:val="00F05904"/>
    <w:rsid w:val="00F05BD0"/>
    <w:rsid w:val="00F0685E"/>
    <w:rsid w:val="00F0688F"/>
    <w:rsid w:val="00F06FA5"/>
    <w:rsid w:val="00F0789C"/>
    <w:rsid w:val="00F10461"/>
    <w:rsid w:val="00F11241"/>
    <w:rsid w:val="00F118A1"/>
    <w:rsid w:val="00F11A91"/>
    <w:rsid w:val="00F11CA4"/>
    <w:rsid w:val="00F11D37"/>
    <w:rsid w:val="00F12D33"/>
    <w:rsid w:val="00F13771"/>
    <w:rsid w:val="00F13836"/>
    <w:rsid w:val="00F13B3C"/>
    <w:rsid w:val="00F14A40"/>
    <w:rsid w:val="00F14BCE"/>
    <w:rsid w:val="00F14C2A"/>
    <w:rsid w:val="00F14E31"/>
    <w:rsid w:val="00F1512A"/>
    <w:rsid w:val="00F15F62"/>
    <w:rsid w:val="00F164C8"/>
    <w:rsid w:val="00F17516"/>
    <w:rsid w:val="00F17632"/>
    <w:rsid w:val="00F1778E"/>
    <w:rsid w:val="00F17D30"/>
    <w:rsid w:val="00F22507"/>
    <w:rsid w:val="00F22D3D"/>
    <w:rsid w:val="00F23196"/>
    <w:rsid w:val="00F231BF"/>
    <w:rsid w:val="00F23BEF"/>
    <w:rsid w:val="00F2482E"/>
    <w:rsid w:val="00F249D9"/>
    <w:rsid w:val="00F24C46"/>
    <w:rsid w:val="00F24F2B"/>
    <w:rsid w:val="00F25909"/>
    <w:rsid w:val="00F26133"/>
    <w:rsid w:val="00F26311"/>
    <w:rsid w:val="00F27191"/>
    <w:rsid w:val="00F2798E"/>
    <w:rsid w:val="00F30879"/>
    <w:rsid w:val="00F30EF4"/>
    <w:rsid w:val="00F312FB"/>
    <w:rsid w:val="00F33B34"/>
    <w:rsid w:val="00F34335"/>
    <w:rsid w:val="00F34B39"/>
    <w:rsid w:val="00F3519F"/>
    <w:rsid w:val="00F35B78"/>
    <w:rsid w:val="00F40B52"/>
    <w:rsid w:val="00F4224B"/>
    <w:rsid w:val="00F4284B"/>
    <w:rsid w:val="00F43BFB"/>
    <w:rsid w:val="00F43C38"/>
    <w:rsid w:val="00F46A7A"/>
    <w:rsid w:val="00F50C13"/>
    <w:rsid w:val="00F517A1"/>
    <w:rsid w:val="00F51E14"/>
    <w:rsid w:val="00F52350"/>
    <w:rsid w:val="00F52D54"/>
    <w:rsid w:val="00F53072"/>
    <w:rsid w:val="00F530A4"/>
    <w:rsid w:val="00F53EBE"/>
    <w:rsid w:val="00F54F30"/>
    <w:rsid w:val="00F55279"/>
    <w:rsid w:val="00F571A2"/>
    <w:rsid w:val="00F57AB6"/>
    <w:rsid w:val="00F60B10"/>
    <w:rsid w:val="00F613C0"/>
    <w:rsid w:val="00F61645"/>
    <w:rsid w:val="00F619FA"/>
    <w:rsid w:val="00F61BEB"/>
    <w:rsid w:val="00F63DD1"/>
    <w:rsid w:val="00F6409A"/>
    <w:rsid w:val="00F64322"/>
    <w:rsid w:val="00F645CC"/>
    <w:rsid w:val="00F65FDC"/>
    <w:rsid w:val="00F6704A"/>
    <w:rsid w:val="00F71299"/>
    <w:rsid w:val="00F7176D"/>
    <w:rsid w:val="00F71C15"/>
    <w:rsid w:val="00F72893"/>
    <w:rsid w:val="00F72A70"/>
    <w:rsid w:val="00F72D4F"/>
    <w:rsid w:val="00F72DFC"/>
    <w:rsid w:val="00F73802"/>
    <w:rsid w:val="00F74847"/>
    <w:rsid w:val="00F74F55"/>
    <w:rsid w:val="00F75412"/>
    <w:rsid w:val="00F75C4A"/>
    <w:rsid w:val="00F760DB"/>
    <w:rsid w:val="00F768E9"/>
    <w:rsid w:val="00F76A19"/>
    <w:rsid w:val="00F76FA9"/>
    <w:rsid w:val="00F775EC"/>
    <w:rsid w:val="00F80AA4"/>
    <w:rsid w:val="00F8199C"/>
    <w:rsid w:val="00F821E9"/>
    <w:rsid w:val="00F824A6"/>
    <w:rsid w:val="00F83157"/>
    <w:rsid w:val="00F831DF"/>
    <w:rsid w:val="00F831E6"/>
    <w:rsid w:val="00F8432D"/>
    <w:rsid w:val="00F852E2"/>
    <w:rsid w:val="00F86133"/>
    <w:rsid w:val="00F9074B"/>
    <w:rsid w:val="00F91886"/>
    <w:rsid w:val="00F91C2B"/>
    <w:rsid w:val="00F929BF"/>
    <w:rsid w:val="00F92BAC"/>
    <w:rsid w:val="00F931AE"/>
    <w:rsid w:val="00F94193"/>
    <w:rsid w:val="00F94C90"/>
    <w:rsid w:val="00F94D2F"/>
    <w:rsid w:val="00F9658A"/>
    <w:rsid w:val="00F969C1"/>
    <w:rsid w:val="00F96F2D"/>
    <w:rsid w:val="00F97648"/>
    <w:rsid w:val="00FA04A0"/>
    <w:rsid w:val="00FA0E60"/>
    <w:rsid w:val="00FA1465"/>
    <w:rsid w:val="00FA38BE"/>
    <w:rsid w:val="00FA3D61"/>
    <w:rsid w:val="00FA43E8"/>
    <w:rsid w:val="00FA4CA6"/>
    <w:rsid w:val="00FA4DFF"/>
    <w:rsid w:val="00FA509E"/>
    <w:rsid w:val="00FA792B"/>
    <w:rsid w:val="00FA7E28"/>
    <w:rsid w:val="00FA7F98"/>
    <w:rsid w:val="00FB1423"/>
    <w:rsid w:val="00FB1FF5"/>
    <w:rsid w:val="00FB222F"/>
    <w:rsid w:val="00FB49E2"/>
    <w:rsid w:val="00FB5B6A"/>
    <w:rsid w:val="00FB5C4C"/>
    <w:rsid w:val="00FB66BE"/>
    <w:rsid w:val="00FC06B5"/>
    <w:rsid w:val="00FC0BDE"/>
    <w:rsid w:val="00FC0D92"/>
    <w:rsid w:val="00FC1F4B"/>
    <w:rsid w:val="00FC25FE"/>
    <w:rsid w:val="00FC2793"/>
    <w:rsid w:val="00FC354F"/>
    <w:rsid w:val="00FC3D1F"/>
    <w:rsid w:val="00FC47BD"/>
    <w:rsid w:val="00FC5FEE"/>
    <w:rsid w:val="00FC621D"/>
    <w:rsid w:val="00FC63E4"/>
    <w:rsid w:val="00FC6952"/>
    <w:rsid w:val="00FC6EF3"/>
    <w:rsid w:val="00FC7554"/>
    <w:rsid w:val="00FC78F7"/>
    <w:rsid w:val="00FD1324"/>
    <w:rsid w:val="00FD22D2"/>
    <w:rsid w:val="00FD2674"/>
    <w:rsid w:val="00FD296D"/>
    <w:rsid w:val="00FD2CE7"/>
    <w:rsid w:val="00FD3744"/>
    <w:rsid w:val="00FD3A02"/>
    <w:rsid w:val="00FD4BAE"/>
    <w:rsid w:val="00FD5035"/>
    <w:rsid w:val="00FD5E9B"/>
    <w:rsid w:val="00FD615C"/>
    <w:rsid w:val="00FD6660"/>
    <w:rsid w:val="00FD693F"/>
    <w:rsid w:val="00FD799F"/>
    <w:rsid w:val="00FD7ED3"/>
    <w:rsid w:val="00FE04D9"/>
    <w:rsid w:val="00FE110A"/>
    <w:rsid w:val="00FE15B8"/>
    <w:rsid w:val="00FE23F6"/>
    <w:rsid w:val="00FE2552"/>
    <w:rsid w:val="00FE36FD"/>
    <w:rsid w:val="00FE3E9A"/>
    <w:rsid w:val="00FE52B3"/>
    <w:rsid w:val="00FE578D"/>
    <w:rsid w:val="00FE73DF"/>
    <w:rsid w:val="00FE7528"/>
    <w:rsid w:val="00FE7966"/>
    <w:rsid w:val="00FF0386"/>
    <w:rsid w:val="00FF0A4B"/>
    <w:rsid w:val="00FF10A4"/>
    <w:rsid w:val="00FF1C5A"/>
    <w:rsid w:val="00FF256C"/>
    <w:rsid w:val="00FF26D9"/>
    <w:rsid w:val="00FF2E56"/>
    <w:rsid w:val="00FF3A9F"/>
    <w:rsid w:val="00FF656A"/>
    <w:rsid w:val="00FF6A10"/>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EFF93"/>
  <w15:chartTrackingRefBased/>
  <w15:docId w15:val="{97A5A820-3C54-4E6B-B883-7210BB4C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507"/>
    <w:pPr>
      <w:tabs>
        <w:tab w:val="center" w:pos="4680"/>
        <w:tab w:val="right" w:pos="9360"/>
      </w:tabs>
    </w:pPr>
  </w:style>
  <w:style w:type="character" w:customStyle="1" w:styleId="HeaderChar">
    <w:name w:val="Header Char"/>
    <w:basedOn w:val="DefaultParagraphFont"/>
    <w:link w:val="Header"/>
    <w:uiPriority w:val="99"/>
    <w:rsid w:val="00114507"/>
  </w:style>
  <w:style w:type="paragraph" w:styleId="Footer">
    <w:name w:val="footer"/>
    <w:basedOn w:val="Normal"/>
    <w:link w:val="FooterChar"/>
    <w:uiPriority w:val="99"/>
    <w:unhideWhenUsed/>
    <w:rsid w:val="00114507"/>
    <w:pPr>
      <w:tabs>
        <w:tab w:val="center" w:pos="4680"/>
        <w:tab w:val="right" w:pos="9360"/>
      </w:tabs>
    </w:pPr>
  </w:style>
  <w:style w:type="character" w:customStyle="1" w:styleId="FooterChar">
    <w:name w:val="Footer Char"/>
    <w:basedOn w:val="DefaultParagraphFont"/>
    <w:link w:val="Footer"/>
    <w:uiPriority w:val="99"/>
    <w:rsid w:val="00114507"/>
  </w:style>
  <w:style w:type="character" w:styleId="Hyperlink">
    <w:name w:val="Hyperlink"/>
    <w:basedOn w:val="DefaultParagraphFont"/>
    <w:uiPriority w:val="99"/>
    <w:unhideWhenUsed/>
    <w:rsid w:val="008C4E2B"/>
    <w:rPr>
      <w:color w:val="0563C1" w:themeColor="hyperlink"/>
      <w:u w:val="single"/>
    </w:rPr>
  </w:style>
  <w:style w:type="character" w:styleId="UnresolvedMention">
    <w:name w:val="Unresolved Mention"/>
    <w:basedOn w:val="DefaultParagraphFont"/>
    <w:uiPriority w:val="99"/>
    <w:semiHidden/>
    <w:unhideWhenUsed/>
    <w:rsid w:val="008C4E2B"/>
    <w:rPr>
      <w:color w:val="605E5C"/>
      <w:shd w:val="clear" w:color="auto" w:fill="E1DFDD"/>
    </w:rPr>
  </w:style>
  <w:style w:type="character" w:styleId="FollowedHyperlink">
    <w:name w:val="FollowedHyperlink"/>
    <w:basedOn w:val="DefaultParagraphFont"/>
    <w:uiPriority w:val="99"/>
    <w:semiHidden/>
    <w:unhideWhenUsed/>
    <w:rsid w:val="008C4E2B"/>
    <w:rPr>
      <w:color w:val="954F72" w:themeColor="followedHyperlink"/>
      <w:u w:val="single"/>
    </w:rPr>
  </w:style>
  <w:style w:type="paragraph" w:styleId="ListParagraph">
    <w:name w:val="List Paragraph"/>
    <w:basedOn w:val="Normal"/>
    <w:uiPriority w:val="34"/>
    <w:qFormat/>
    <w:rsid w:val="005565B9"/>
    <w:pPr>
      <w:ind w:left="720"/>
      <w:contextualSpacing/>
    </w:pPr>
  </w:style>
  <w:style w:type="paragraph" w:styleId="FootnoteText">
    <w:name w:val="footnote text"/>
    <w:basedOn w:val="Normal"/>
    <w:link w:val="FootnoteTextChar"/>
    <w:uiPriority w:val="99"/>
    <w:semiHidden/>
    <w:unhideWhenUsed/>
    <w:rsid w:val="001B3091"/>
    <w:rPr>
      <w:sz w:val="20"/>
      <w:szCs w:val="20"/>
    </w:rPr>
  </w:style>
  <w:style w:type="character" w:customStyle="1" w:styleId="FootnoteTextChar">
    <w:name w:val="Footnote Text Char"/>
    <w:basedOn w:val="DefaultParagraphFont"/>
    <w:link w:val="FootnoteText"/>
    <w:uiPriority w:val="99"/>
    <w:semiHidden/>
    <w:rsid w:val="001B30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3091"/>
    <w:rPr>
      <w:vertAlign w:val="superscript"/>
    </w:rPr>
  </w:style>
  <w:style w:type="table" w:styleId="TableGrid">
    <w:name w:val="Table Grid"/>
    <w:basedOn w:val="TableNormal"/>
    <w:uiPriority w:val="39"/>
    <w:rsid w:val="0049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priorities/key-initiatives/burden-reduction/interoperability/policies-and-regulations/cms-interoperability-and-patient-access-final-rule-cms-9115-f" TargetMode="External"/><Relationship Id="rId13" Type="http://schemas.openxmlformats.org/officeDocument/2006/relationships/hyperlink" Target="https://hl7.org/fhir/us/carin-bb/history.html" TargetMode="External"/><Relationship Id="rId18" Type="http://schemas.openxmlformats.org/officeDocument/2006/relationships/hyperlink" Target="https://hl7.org/fhir/us/davinci-pdex/histor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l7.org/fhir/us/davinci-dtr/history.html" TargetMode="External"/><Relationship Id="rId7" Type="http://schemas.openxmlformats.org/officeDocument/2006/relationships/endnotes" Target="endnotes.xml"/><Relationship Id="rId12" Type="http://schemas.openxmlformats.org/officeDocument/2006/relationships/hyperlink" Target="https://hl7.org/fhir/us/Davinci-drug-formulary/history.html" TargetMode="External"/><Relationship Id="rId17" Type="http://schemas.openxmlformats.org/officeDocument/2006/relationships/hyperlink" Target="https://hl7.org/fhir/us/carin-bb/history.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l7.org/fhir/us/davinci-pdex-plan-net/history.html" TargetMode="External"/><Relationship Id="rId20" Type="http://schemas.openxmlformats.org/officeDocument/2006/relationships/hyperlink" Target="https://hl7.org/fhir/us/davinci-crd/his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7.org/fhir/us/davinci-pdex/history.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l7.org/fhir/smart-app-launch/STU2/backend-services.html" TargetMode="External"/><Relationship Id="rId23" Type="http://schemas.openxmlformats.org/officeDocument/2006/relationships/hyperlink" Target="https://hl7.org/fhir/us/davinci-pas/history.html" TargetMode="External"/><Relationship Id="rId10" Type="http://schemas.openxmlformats.org/officeDocument/2006/relationships/hyperlink" Target="https://hl7.org/fhir/us/carin-bb/history.html" TargetMode="External"/><Relationship Id="rId19" Type="http://schemas.openxmlformats.org/officeDocument/2006/relationships/hyperlink" Target="https://hl7.org/fhir/smart-app-launch/STU2/backend-services.html" TargetMode="External"/><Relationship Id="rId4" Type="http://schemas.openxmlformats.org/officeDocument/2006/relationships/settings" Target="settings.xml"/><Relationship Id="rId9" Type="http://schemas.openxmlformats.org/officeDocument/2006/relationships/hyperlink" Target="https://www.federalregister.gov/executive-order/13813" TargetMode="External"/><Relationship Id="rId14" Type="http://schemas.openxmlformats.org/officeDocument/2006/relationships/hyperlink" Target="https://hl7.org/fhir/us/davinci-pdex/history.html" TargetMode="External"/><Relationship Id="rId22" Type="http://schemas.openxmlformats.org/officeDocument/2006/relationships/hyperlink" Target="http://hl7.org/fhir/us/davinci-pas/history.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govinfo.gov/content/pkg/FR-2024-02-08/pdf/2024-00895.pdf"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B86C-D2A0-4310-A271-15C4146C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12993</Words>
  <Characters>74062</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McConnell</dc:creator>
  <cp:keywords/>
  <dc:description/>
  <cp:lastModifiedBy>Gretchen Thompson</cp:lastModifiedBy>
  <cp:revision>2</cp:revision>
  <cp:lastPrinted>2024-05-17T15:04:00Z</cp:lastPrinted>
  <dcterms:created xsi:type="dcterms:W3CDTF">2024-06-22T03:03:00Z</dcterms:created>
  <dcterms:modified xsi:type="dcterms:W3CDTF">2024-06-22T03:03:00Z</dcterms:modified>
</cp:coreProperties>
</file>