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COUNTY COLLABORATION AGREEMENT</w:t>
      </w:r>
    </w:p>
    <w:p w:rsidR="00000000" w:rsidDel="00000000" w:rsidP="00000000" w:rsidRDefault="00000000" w:rsidRPr="00000000" w14:paraId="00000002">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Collaboration Agreement (the "Agreement") is entered into by and between the County Department (_____________), and the external entity(ies) listed below (the "External Entity") for the purpose of facilitating timely enrollment of Medical Assistance applicants, ensuring coordination of ongoing eligibility and case maintenance, and outlining cost-sharing mechanisms.</w:t>
      </w:r>
    </w:p>
    <w:p w:rsidR="00000000" w:rsidDel="00000000" w:rsidP="00000000" w:rsidRDefault="00000000" w:rsidRPr="00000000" w14:paraId="00000003">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Agreement shall become effective on the date signed by the final party and shall remain in effect until terminated or modified by mutual written consent of the parties involved.</w:t>
      </w:r>
    </w:p>
    <w:p w:rsidR="00000000" w:rsidDel="00000000" w:rsidP="00000000" w:rsidRDefault="00000000" w:rsidRPr="00000000" w14:paraId="00000004">
      <w:pPr>
        <w:spacing w:after="240" w:before="24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Trebuchet MS" w:cs="Trebuchet MS" w:eastAsia="Trebuchet MS" w:hAnsi="Trebuchet MS"/>
          <w:b w:val="1"/>
          <w:color w:val="000000"/>
          <w:sz w:val="26"/>
          <w:szCs w:val="26"/>
        </w:rPr>
      </w:pPr>
      <w:bookmarkStart w:colFirst="0" w:colLast="0" w:name="_8edhiy5unnu4" w:id="0"/>
      <w:bookmarkEnd w:id="0"/>
      <w:r w:rsidDel="00000000" w:rsidR="00000000" w:rsidRPr="00000000">
        <w:rPr>
          <w:rFonts w:ascii="Trebuchet MS" w:cs="Trebuchet MS" w:eastAsia="Trebuchet MS" w:hAnsi="Trebuchet MS"/>
          <w:b w:val="1"/>
          <w:color w:val="000000"/>
          <w:sz w:val="26"/>
          <w:szCs w:val="26"/>
          <w:rtl w:val="0"/>
        </w:rPr>
        <w:t xml:space="preserve">1. Purpose and Scope of Collaboration</w:t>
      </w:r>
    </w:p>
    <w:p w:rsidR="00000000" w:rsidDel="00000000" w:rsidP="00000000" w:rsidRDefault="00000000" w:rsidRPr="00000000" w14:paraId="00000006">
      <w:pPr>
        <w:spacing w:after="240" w:before="240" w:lineRule="auto"/>
        <w:rPr>
          <w:rFonts w:ascii="Trebuchet MS" w:cs="Trebuchet MS" w:eastAsia="Trebuchet MS" w:hAnsi="Trebuchet MS"/>
          <w:i w:val="1"/>
          <w:sz w:val="16"/>
          <w:szCs w:val="16"/>
        </w:rPr>
      </w:pPr>
      <w:r w:rsidDel="00000000" w:rsidR="00000000" w:rsidRPr="00000000">
        <w:rPr>
          <w:rFonts w:ascii="Trebuchet MS" w:cs="Trebuchet MS" w:eastAsia="Trebuchet MS" w:hAnsi="Trebuchet MS"/>
          <w:i w:val="1"/>
          <w:sz w:val="16"/>
          <w:szCs w:val="16"/>
          <w:rtl w:val="0"/>
        </w:rPr>
        <w:t xml:space="preserve">Rule section 1.020.11: County Department Collaboration with External Entities to Facilitate Eligibility and Enrollment </w:t>
      </w:r>
    </w:p>
    <w:p w:rsidR="00000000" w:rsidDel="00000000" w:rsidP="00000000" w:rsidRDefault="00000000" w:rsidRPr="00000000" w14:paraId="00000007">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   The purpose of this Agreement is to</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08">
      <w:pPr>
        <w:numPr>
          <w:ilvl w:val="0"/>
          <w:numId w:val="3"/>
        </w:numPr>
        <w:spacing w:after="0" w:afterAutospacing="0" w:before="240" w:lineRule="auto"/>
        <w:ind w:left="720" w:hanging="360"/>
        <w:rPr>
          <w:rFonts w:ascii="Trebuchet MS" w:cs="Trebuchet MS" w:eastAsia="Trebuchet MS" w:hAnsi="Trebuchet MS"/>
        </w:rPr>
      </w:pPr>
      <w:commentRangeStart w:id="0"/>
      <w:r w:rsidDel="00000000" w:rsidR="00000000" w:rsidRPr="00000000">
        <w:rPr>
          <w:rFonts w:ascii="Trebuchet MS" w:cs="Trebuchet MS" w:eastAsia="Trebuchet MS" w:hAnsi="Trebuchet MS"/>
          <w:rtl w:val="0"/>
        </w:rPr>
        <w:t xml:space="preserve">Facilitate </w:t>
      </w:r>
      <w:commentRangeEnd w:id="0"/>
      <w:r w:rsidDel="00000000" w:rsidR="00000000" w:rsidRPr="00000000">
        <w:commentReference w:id="0"/>
      </w:r>
      <w:r w:rsidDel="00000000" w:rsidR="00000000" w:rsidRPr="00000000">
        <w:rPr>
          <w:rFonts w:ascii="Trebuchet MS" w:cs="Trebuchet MS" w:eastAsia="Trebuchet MS" w:hAnsi="Trebuchet MS"/>
          <w:rtl w:val="0"/>
        </w:rPr>
        <w:t xml:space="preserve">timely enrollment of Medical Assistance applicants.</w:t>
      </w:r>
    </w:p>
    <w:p w:rsidR="00000000" w:rsidDel="00000000" w:rsidP="00000000" w:rsidRDefault="00000000" w:rsidRPr="00000000" w14:paraId="00000009">
      <w:pPr>
        <w:numPr>
          <w:ilvl w:val="0"/>
          <w:numId w:val="3"/>
        </w:numPr>
        <w:spacing w:after="0" w:afterAutospacing="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Ensure coordination between the County Department, and the External Entities for ongoing eligibility and case maintenance.</w:t>
      </w:r>
    </w:p>
    <w:p w:rsidR="00000000" w:rsidDel="00000000" w:rsidP="00000000" w:rsidRDefault="00000000" w:rsidRPr="00000000" w14:paraId="0000000A">
      <w:pPr>
        <w:numPr>
          <w:ilvl w:val="0"/>
          <w:numId w:val="3"/>
        </w:numPr>
        <w:spacing w:after="24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In particular, to ensure applicants who are hospitalized have access to timely determinations for discharge, the County Department shall enter into formal agreements with the External Entities within the county’s boundaries or, if applicable, partner with neighboring counties within this agreement by January 1, 2026. This Agreement may be executed either individually between the County Department, Partner Counties, and each External Entity, or as a single agreement that includes multiple External Entities, depending on the County’s organizational structure.</w:t>
      </w:r>
    </w:p>
    <w:p w:rsidR="00000000" w:rsidDel="00000000" w:rsidP="00000000" w:rsidRDefault="00000000" w:rsidRPr="00000000" w14:paraId="0000000B">
      <w:pPr>
        <w:spacing w:after="240" w:before="24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rFonts w:ascii="Trebuchet MS" w:cs="Trebuchet MS" w:eastAsia="Trebuchet MS" w:hAnsi="Trebuchet MS"/>
          <w:b w:val="1"/>
          <w:color w:val="000000"/>
          <w:sz w:val="26"/>
          <w:szCs w:val="26"/>
        </w:rPr>
      </w:pPr>
      <w:bookmarkStart w:colFirst="0" w:colLast="0" w:name="_7pb0wooajbo" w:id="1"/>
      <w:bookmarkEnd w:id="1"/>
      <w:r w:rsidDel="00000000" w:rsidR="00000000" w:rsidRPr="00000000">
        <w:rPr>
          <w:rFonts w:ascii="Trebuchet MS" w:cs="Trebuchet MS" w:eastAsia="Trebuchet MS" w:hAnsi="Trebuchet MS"/>
          <w:b w:val="1"/>
          <w:color w:val="000000"/>
          <w:sz w:val="26"/>
          <w:szCs w:val="26"/>
          <w:rtl w:val="0"/>
        </w:rPr>
        <w:t xml:space="preserve">2. Agreement Details</w:t>
      </w:r>
    </w:p>
    <w:p w:rsidR="00000000" w:rsidDel="00000000" w:rsidP="00000000" w:rsidRDefault="00000000" w:rsidRPr="00000000" w14:paraId="0000000D">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 </w:t>
      </w:r>
      <w:commentRangeStart w:id="1"/>
      <w:r w:rsidDel="00000000" w:rsidR="00000000" w:rsidRPr="00000000">
        <w:rPr>
          <w:rFonts w:ascii="Trebuchet MS" w:cs="Trebuchet MS" w:eastAsia="Trebuchet MS" w:hAnsi="Trebuchet MS"/>
          <w:b w:val="1"/>
          <w:rtl w:val="0"/>
        </w:rPr>
        <w:t xml:space="preserve">Specific Points of Contact</w:t>
      </w:r>
      <w:r w:rsidDel="00000000" w:rsidR="00000000" w:rsidRPr="00000000">
        <w:rPr>
          <w:rFonts w:ascii="Trebuchet MS" w:cs="Trebuchet MS" w:eastAsia="Trebuchet MS" w:hAnsi="Trebuchet MS"/>
          <w:rtl w:val="0"/>
        </w:rPr>
        <w:br w:type="textWrapping"/>
      </w:r>
      <w:commentRangeEnd w:id="1"/>
      <w:r w:rsidDel="00000000" w:rsidR="00000000" w:rsidRPr="00000000">
        <w:commentReference w:id="1"/>
      </w:r>
      <w:r w:rsidDel="00000000" w:rsidR="00000000" w:rsidRPr="00000000">
        <w:rPr>
          <w:rFonts w:ascii="Trebuchet MS" w:cs="Trebuchet MS" w:eastAsia="Trebuchet MS" w:hAnsi="Trebuchet MS"/>
          <w:rtl w:val="0"/>
        </w:rPr>
        <w:t xml:space="preserve">The Agreement will specify designated points of contact for each party to effectively manage the implementation of this collaboration. These points of contact include, but are not limited to:</w:t>
      </w:r>
    </w:p>
    <w:p w:rsidR="00000000" w:rsidDel="00000000" w:rsidP="00000000" w:rsidRDefault="00000000" w:rsidRPr="00000000" w14:paraId="0000000E">
      <w:pPr>
        <w:numPr>
          <w:ilvl w:val="0"/>
          <w:numId w:val="5"/>
        </w:numPr>
        <w:spacing w:after="0" w:afterAutospacing="0" w:befor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County Department Representative: ____________________________</w:t>
      </w:r>
    </w:p>
    <w:p w:rsidR="00000000" w:rsidDel="00000000" w:rsidP="00000000" w:rsidRDefault="00000000" w:rsidRPr="00000000" w14:paraId="0000000F">
      <w:pPr>
        <w:numPr>
          <w:ilvl w:val="0"/>
          <w:numId w:val="5"/>
        </w:numPr>
        <w:spacing w:after="0" w:afterAutospacing="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Partner County Department Representative: ____________________________</w:t>
      </w:r>
    </w:p>
    <w:p w:rsidR="00000000" w:rsidDel="00000000" w:rsidP="00000000" w:rsidRDefault="00000000" w:rsidRPr="00000000" w14:paraId="00000010">
      <w:pPr>
        <w:numPr>
          <w:ilvl w:val="0"/>
          <w:numId w:val="5"/>
        </w:numPr>
        <w:spacing w:after="24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External Entity(ies) Representative: ____________________________</w:t>
      </w:r>
    </w:p>
    <w:p w:rsidR="00000000" w:rsidDel="00000000" w:rsidP="00000000" w:rsidRDefault="00000000" w:rsidRPr="00000000" w14:paraId="00000011">
      <w:pPr>
        <w:spacing w:after="240" w:befor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2">
      <w:pPr>
        <w:spacing w:after="240" w:befor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3">
      <w:pPr>
        <w:spacing w:after="240" w:before="24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b. Defined Roles and Responsibilities</w:t>
      </w:r>
    </w:p>
    <w:p w:rsidR="00000000" w:rsidDel="00000000" w:rsidP="00000000" w:rsidRDefault="00000000" w:rsidRPr="00000000" w14:paraId="00000014">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County Department Responsibilities:</w:t>
      </w:r>
      <w:r w:rsidDel="00000000" w:rsidR="00000000" w:rsidRPr="00000000">
        <w:rPr>
          <w:rFonts w:ascii="Trebuchet MS" w:cs="Trebuchet MS" w:eastAsia="Trebuchet MS" w:hAnsi="Trebuchet MS"/>
          <w:rtl w:val="0"/>
        </w:rPr>
        <w:br w:type="textWrapping"/>
      </w:r>
      <w:r w:rsidDel="00000000" w:rsidR="00000000" w:rsidRPr="00000000">
        <w:rPr>
          <w:rFonts w:ascii="Trebuchet MS" w:cs="Trebuchet MS" w:eastAsia="Trebuchet MS" w:hAnsi="Trebuchet MS"/>
          <w:rtl w:val="0"/>
        </w:rPr>
        <w:t xml:space="preserve">The County Department shall have the sole responsibility of determining eligibility for Medical Assistance programs.</w:t>
      </w:r>
      <w:r w:rsidDel="00000000" w:rsidR="00000000" w:rsidRPr="00000000">
        <w:rPr>
          <w:rtl w:val="0"/>
        </w:rPr>
      </w:r>
    </w:p>
    <w:p w:rsidR="00000000" w:rsidDel="00000000" w:rsidP="00000000" w:rsidRDefault="00000000" w:rsidRPr="00000000" w14:paraId="00000015">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Processing of Applications, Renewals, and Changes:</w:t>
        <w:br w:type="textWrapping"/>
      </w:r>
      <w:commentRangeStart w:id="2"/>
      <w:r w:rsidDel="00000000" w:rsidR="00000000" w:rsidRPr="00000000">
        <w:rPr>
          <w:rFonts w:ascii="Trebuchet MS" w:cs="Trebuchet MS" w:eastAsia="Trebuchet MS" w:hAnsi="Trebuchet MS"/>
          <w:rtl w:val="0"/>
        </w:rPr>
        <w:t xml:space="preserve">The County Department agrees to process the following number of Medical Assistance applications on a monthly basis: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6">
      <w:pPr>
        <w:numPr>
          <w:ilvl w:val="0"/>
          <w:numId w:val="4"/>
        </w:numPr>
        <w:spacing w:after="0" w:afterAutospacing="0" w:befor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Amount of Applications to be Processed Monthly: _____________</w:t>
      </w:r>
    </w:p>
    <w:p w:rsidR="00000000" w:rsidDel="00000000" w:rsidP="00000000" w:rsidRDefault="00000000" w:rsidRPr="00000000" w14:paraId="00000017">
      <w:pPr>
        <w:numPr>
          <w:ilvl w:val="0"/>
          <w:numId w:val="4"/>
        </w:numPr>
        <w:spacing w:after="0" w:afterAutospacing="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Amount of Renewals to be Processed Monthly: _____________</w:t>
      </w:r>
    </w:p>
    <w:p w:rsidR="00000000" w:rsidDel="00000000" w:rsidP="00000000" w:rsidRDefault="00000000" w:rsidRPr="00000000" w14:paraId="00000018">
      <w:pPr>
        <w:numPr>
          <w:ilvl w:val="0"/>
          <w:numId w:val="4"/>
        </w:numPr>
        <w:spacing w:after="24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Amount of Changes to be Processed Monthly: _____________</w:t>
      </w:r>
    </w:p>
    <w:p w:rsidR="00000000" w:rsidDel="00000000" w:rsidP="00000000" w:rsidRDefault="00000000" w:rsidRPr="00000000" w14:paraId="00000019">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To ensure timely processing, the County Department shall implement effective systems and workflows.</w:t>
      </w:r>
    </w:p>
    <w:p w:rsidR="00000000" w:rsidDel="00000000" w:rsidP="00000000" w:rsidRDefault="00000000" w:rsidRPr="00000000" w14:paraId="0000001A">
      <w:pPr>
        <w:spacing w:after="240" w:before="240" w:lineRule="auto"/>
        <w:rPr>
          <w:rFonts w:ascii="Trebuchet MS" w:cs="Trebuchet MS" w:eastAsia="Trebuchet MS" w:hAnsi="Trebuchet MS"/>
        </w:rPr>
      </w:pPr>
      <w:commentRangeStart w:id="3"/>
      <w:r w:rsidDel="00000000" w:rsidR="00000000" w:rsidRPr="00000000">
        <w:rPr>
          <w:rFonts w:ascii="Trebuchet MS" w:cs="Trebuchet MS" w:eastAsia="Trebuchet MS" w:hAnsi="Trebuchet MS"/>
          <w:rtl w:val="0"/>
        </w:rPr>
        <w:t xml:space="preserve">Reports </w:t>
      </w:r>
      <w:commentRangeEnd w:id="3"/>
      <w:r w:rsidDel="00000000" w:rsidR="00000000" w:rsidRPr="00000000">
        <w:commentReference w:id="3"/>
      </w:r>
      <w:r w:rsidDel="00000000" w:rsidR="00000000" w:rsidRPr="00000000">
        <w:rPr>
          <w:rFonts w:ascii="Trebuchet MS" w:cs="Trebuchet MS" w:eastAsia="Trebuchet MS" w:hAnsi="Trebuchet MS"/>
          <w:rtl w:val="0"/>
        </w:rPr>
        <w:t xml:space="preserve">to Monitor and Measure Timely Processing of Applications, Renewals, and Changes:</w:t>
        <w:br w:type="textWrapping"/>
        <w:t xml:space="preserve">The County Department shall utilize the following reports to monitor and measure the timely processing of Medical Assistance applications:</w:t>
      </w:r>
    </w:p>
    <w:p w:rsidR="00000000" w:rsidDel="00000000" w:rsidP="00000000" w:rsidRDefault="00000000" w:rsidRPr="00000000" w14:paraId="0000001B">
      <w:pPr>
        <w:numPr>
          <w:ilvl w:val="0"/>
          <w:numId w:val="1"/>
        </w:numPr>
        <w:spacing w:after="0" w:afterAutospacing="0" w:befor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Report(s) Name: _______________________</w:t>
      </w:r>
    </w:p>
    <w:p w:rsidR="00000000" w:rsidDel="00000000" w:rsidP="00000000" w:rsidRDefault="00000000" w:rsidRPr="00000000" w14:paraId="0000001C">
      <w:pPr>
        <w:numPr>
          <w:ilvl w:val="0"/>
          <w:numId w:val="1"/>
        </w:numPr>
        <w:spacing w:after="24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Cadence of Monitoring: ___________ (e.g., daily, weekly, monthly)</w:t>
      </w:r>
    </w:p>
    <w:p w:rsidR="00000000" w:rsidDel="00000000" w:rsidP="00000000" w:rsidRDefault="00000000" w:rsidRPr="00000000" w14:paraId="0000001D">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External Entities Responsibilities:</w:t>
      </w:r>
      <w:r w:rsidDel="00000000" w:rsidR="00000000" w:rsidRPr="00000000">
        <w:rPr>
          <w:rFonts w:ascii="Trebuchet MS" w:cs="Trebuchet MS" w:eastAsia="Trebuchet MS" w:hAnsi="Trebuchet MS"/>
          <w:rtl w:val="0"/>
        </w:rPr>
        <w:br w:type="textWrapping"/>
        <w:t xml:space="preserve">The External Entities shall collaborate with the County Department to ensure timely and accurate enrollment and eligibility decisions. To ensure timely processing, the External Entities shall implement effective systems and process workflows in coordination with the County Department.</w:t>
      </w:r>
    </w:p>
    <w:p w:rsidR="00000000" w:rsidDel="00000000" w:rsidP="00000000" w:rsidRDefault="00000000" w:rsidRPr="00000000" w14:paraId="0000001E">
      <w:pPr>
        <w:spacing w:after="240" w:before="240" w:lineRule="auto"/>
        <w:rPr>
          <w:rFonts w:ascii="Trebuchet MS" w:cs="Trebuchet MS" w:eastAsia="Trebuchet MS" w:hAnsi="Trebuchet MS"/>
        </w:rPr>
      </w:pPr>
      <w:commentRangeStart w:id="4"/>
      <w:commentRangeStart w:id="5"/>
      <w:commentRangeStart w:id="6"/>
      <w:r w:rsidDel="00000000" w:rsidR="00000000" w:rsidRPr="00000000">
        <w:rPr>
          <w:rFonts w:ascii="Trebuchet MS" w:cs="Trebuchet MS" w:eastAsia="Trebuchet MS" w:hAnsi="Trebuchet MS"/>
          <w:b w:val="1"/>
          <w:rtl w:val="0"/>
        </w:rPr>
        <w:t xml:space="preserve">Conflict of Interest Provisions:</w:t>
      </w:r>
      <w:r w:rsidDel="00000000" w:rsidR="00000000" w:rsidRPr="00000000">
        <w:rPr>
          <w:rFonts w:ascii="Trebuchet MS" w:cs="Trebuchet MS" w:eastAsia="Trebuchet MS" w:hAnsi="Trebuchet MS"/>
          <w:rtl w:val="0"/>
        </w:rPr>
        <w:br w:type="textWrapping"/>
        <w:t xml:space="preserve">The Agreement will include language ensuring that there are no conflicts of interest that would hinder access to eligibility and enrollment. Each party will be expected to act in the best interest of the Medical Assistance applicants and the public welfare.</w:t>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F">
      <w:pPr>
        <w:spacing w:after="240" w:before="24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rFonts w:ascii="Trebuchet MS" w:cs="Trebuchet MS" w:eastAsia="Trebuchet MS" w:hAnsi="Trebuchet MS"/>
          <w:b w:val="1"/>
          <w:color w:val="000000"/>
          <w:sz w:val="26"/>
          <w:szCs w:val="26"/>
        </w:rPr>
      </w:pPr>
      <w:bookmarkStart w:colFirst="0" w:colLast="0" w:name="_x8mvbervyv6v" w:id="2"/>
      <w:bookmarkEnd w:id="2"/>
      <w:r w:rsidDel="00000000" w:rsidR="00000000" w:rsidRPr="00000000">
        <w:rPr>
          <w:rFonts w:ascii="Trebuchet MS" w:cs="Trebuchet MS" w:eastAsia="Trebuchet MS" w:hAnsi="Trebuchet MS"/>
          <w:b w:val="1"/>
          <w:color w:val="000000"/>
          <w:sz w:val="26"/>
          <w:szCs w:val="26"/>
          <w:rtl w:val="0"/>
        </w:rPr>
        <w:t xml:space="preserve">3. External Entities Requiring Collaboration Agreements</w:t>
      </w:r>
    </w:p>
    <w:p w:rsidR="00000000" w:rsidDel="00000000" w:rsidP="00000000" w:rsidRDefault="00000000" w:rsidRPr="00000000" w14:paraId="00000021">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 Hospital System(s), Health Clinics, or Medical Facilities</w:t>
        <w:br w:type="textWrapping"/>
        <w:t xml:space="preserve">The County Department shall enter into formal collaboration agreements with the Hospital System(s) or eligible health clinics or medical facilities located within the county to ensure timely and accurate eligibility determinations for Medical Assistance applicants. The Hospital System(s) shall provide necessary support to facilitate these processes, including cooperation for the timely transfer of information.</w:t>
      </w:r>
    </w:p>
    <w:p w:rsidR="00000000" w:rsidDel="00000000" w:rsidP="00000000" w:rsidRDefault="00000000" w:rsidRPr="00000000" w14:paraId="00000022">
      <w:pPr>
        <w:numPr>
          <w:ilvl w:val="0"/>
          <w:numId w:val="6"/>
        </w:numPr>
        <w:spacing w:after="0" w:afterAutospacing="0" w:befor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___________________</w:t>
      </w:r>
    </w:p>
    <w:p w:rsidR="00000000" w:rsidDel="00000000" w:rsidP="00000000" w:rsidRDefault="00000000" w:rsidRPr="00000000" w14:paraId="00000023">
      <w:pPr>
        <w:numPr>
          <w:ilvl w:val="0"/>
          <w:numId w:val="6"/>
        </w:numPr>
        <w:spacing w:after="0" w:afterAutospacing="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Location: ________________</w:t>
      </w:r>
    </w:p>
    <w:p w:rsidR="00000000" w:rsidDel="00000000" w:rsidP="00000000" w:rsidRDefault="00000000" w:rsidRPr="00000000" w14:paraId="00000024">
      <w:pPr>
        <w:numPr>
          <w:ilvl w:val="0"/>
          <w:numId w:val="6"/>
        </w:numPr>
        <w:spacing w:after="0" w:afterAutospacing="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Phone: __________________</w:t>
      </w:r>
    </w:p>
    <w:p w:rsidR="00000000" w:rsidDel="00000000" w:rsidP="00000000" w:rsidRDefault="00000000" w:rsidRPr="00000000" w14:paraId="00000025">
      <w:pPr>
        <w:numPr>
          <w:ilvl w:val="0"/>
          <w:numId w:val="6"/>
        </w:numPr>
        <w:spacing w:after="240" w:before="0" w:beforeAutospacing="0" w:lineRule="auto"/>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Email:___________________</w:t>
      </w:r>
    </w:p>
    <w:p w:rsidR="00000000" w:rsidDel="00000000" w:rsidP="00000000" w:rsidRDefault="00000000" w:rsidRPr="00000000" w14:paraId="00000026">
      <w:pPr>
        <w:spacing w:after="240" w:before="24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rFonts w:ascii="Trebuchet MS" w:cs="Trebuchet MS" w:eastAsia="Trebuchet MS" w:hAnsi="Trebuchet MS"/>
          <w:b w:val="1"/>
          <w:color w:val="000000"/>
          <w:sz w:val="26"/>
          <w:szCs w:val="26"/>
        </w:rPr>
      </w:pPr>
      <w:bookmarkStart w:colFirst="0" w:colLast="0" w:name="_etvha5utbo7l" w:id="3"/>
      <w:bookmarkEnd w:id="3"/>
      <w:r w:rsidDel="00000000" w:rsidR="00000000" w:rsidRPr="00000000">
        <w:rPr>
          <w:rFonts w:ascii="Trebuchet MS" w:cs="Trebuchet MS" w:eastAsia="Trebuchet MS" w:hAnsi="Trebuchet MS"/>
          <w:b w:val="1"/>
          <w:color w:val="000000"/>
          <w:sz w:val="26"/>
          <w:szCs w:val="26"/>
          <w:rtl w:val="0"/>
        </w:rPr>
        <w:t xml:space="preserve">5. Agreement Term and Termination</w:t>
      </w:r>
    </w:p>
    <w:p w:rsidR="00000000" w:rsidDel="00000000" w:rsidP="00000000" w:rsidRDefault="00000000" w:rsidRPr="00000000" w14:paraId="00000028">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Agreement shall remain in effect until amended or terminated by mutual written agreement of the parties. Any party wishing to terminate this Agreement must provide written notice to the other parties at least </w:t>
      </w:r>
      <w:commentRangeStart w:id="7"/>
      <w:r w:rsidDel="00000000" w:rsidR="00000000" w:rsidRPr="00000000">
        <w:rPr>
          <w:rFonts w:ascii="Trebuchet MS" w:cs="Trebuchet MS" w:eastAsia="Trebuchet MS" w:hAnsi="Trebuchet MS"/>
          <w:b w:val="1"/>
          <w:rtl w:val="0"/>
        </w:rPr>
        <w:t xml:space="preserve">60 days</w:t>
      </w:r>
      <w:r w:rsidDel="00000000" w:rsidR="00000000" w:rsidRPr="00000000">
        <w:rPr>
          <w:rFonts w:ascii="Trebuchet MS" w:cs="Trebuchet MS" w:eastAsia="Trebuchet MS" w:hAnsi="Trebuchet MS"/>
          <w:rtl w:val="0"/>
        </w:rPr>
        <w:t xml:space="preserve"> i</w:t>
      </w:r>
      <w:commentRangeEnd w:id="7"/>
      <w:r w:rsidDel="00000000" w:rsidR="00000000" w:rsidRPr="00000000">
        <w:commentReference w:id="7"/>
      </w:r>
      <w:r w:rsidDel="00000000" w:rsidR="00000000" w:rsidRPr="00000000">
        <w:rPr>
          <w:rFonts w:ascii="Trebuchet MS" w:cs="Trebuchet MS" w:eastAsia="Trebuchet MS" w:hAnsi="Trebuchet MS"/>
          <w:rtl w:val="0"/>
        </w:rPr>
        <w:t xml:space="preserve">n advance.</w:t>
      </w:r>
    </w:p>
    <w:p w:rsidR="00000000" w:rsidDel="00000000" w:rsidP="00000000" w:rsidRDefault="00000000" w:rsidRPr="00000000" w14:paraId="00000029">
      <w:pPr>
        <w:spacing w:after="240" w:before="24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rFonts w:ascii="Trebuchet MS" w:cs="Trebuchet MS" w:eastAsia="Trebuchet MS" w:hAnsi="Trebuchet MS"/>
          <w:b w:val="1"/>
          <w:color w:val="000000"/>
          <w:sz w:val="26"/>
          <w:szCs w:val="26"/>
        </w:rPr>
      </w:pPr>
      <w:bookmarkStart w:colFirst="0" w:colLast="0" w:name="_7wwocpgwrp42" w:id="4"/>
      <w:bookmarkEnd w:id="4"/>
      <w:r w:rsidDel="00000000" w:rsidR="00000000" w:rsidRPr="00000000">
        <w:rPr>
          <w:rFonts w:ascii="Trebuchet MS" w:cs="Trebuchet MS" w:eastAsia="Trebuchet MS" w:hAnsi="Trebuchet MS"/>
          <w:b w:val="1"/>
          <w:color w:val="000000"/>
          <w:sz w:val="26"/>
          <w:szCs w:val="26"/>
          <w:rtl w:val="0"/>
        </w:rPr>
        <w:t xml:space="preserve">6. Amendments</w:t>
      </w:r>
    </w:p>
    <w:p w:rsidR="00000000" w:rsidDel="00000000" w:rsidP="00000000" w:rsidRDefault="00000000" w:rsidRPr="00000000" w14:paraId="0000002B">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Any amendments or modifications to this Agreement must be made in writing and signed by authorized representatives of all parties involved.</w:t>
      </w:r>
    </w:p>
    <w:p w:rsidR="00000000" w:rsidDel="00000000" w:rsidP="00000000" w:rsidRDefault="00000000" w:rsidRPr="00000000" w14:paraId="0000002C">
      <w:pPr>
        <w:spacing w:after="240" w:before="24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rFonts w:ascii="Trebuchet MS" w:cs="Trebuchet MS" w:eastAsia="Trebuchet MS" w:hAnsi="Trebuchet MS"/>
          <w:b w:val="1"/>
          <w:color w:val="000000"/>
          <w:sz w:val="26"/>
          <w:szCs w:val="26"/>
        </w:rPr>
      </w:pPr>
      <w:bookmarkStart w:colFirst="0" w:colLast="0" w:name="_9sp51e32gf9w" w:id="5"/>
      <w:bookmarkEnd w:id="5"/>
      <w:r w:rsidDel="00000000" w:rsidR="00000000" w:rsidRPr="00000000">
        <w:rPr>
          <w:rFonts w:ascii="Trebuchet MS" w:cs="Trebuchet MS" w:eastAsia="Trebuchet MS" w:hAnsi="Trebuchet MS"/>
          <w:b w:val="1"/>
          <w:color w:val="000000"/>
          <w:sz w:val="26"/>
          <w:szCs w:val="26"/>
          <w:rtl w:val="0"/>
        </w:rPr>
        <w:t xml:space="preserve">7. Miscellaneous</w:t>
      </w:r>
    </w:p>
    <w:p w:rsidR="00000000" w:rsidDel="00000000" w:rsidP="00000000" w:rsidRDefault="00000000" w:rsidRPr="00000000" w14:paraId="0000002E">
      <w:pPr>
        <w:numPr>
          <w:ilvl w:val="0"/>
          <w:numId w:val="2"/>
        </w:numPr>
        <w:spacing w:after="0" w:afterAutospacing="0" w:befor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Governing Law</w:t>
      </w:r>
      <w:r w:rsidDel="00000000" w:rsidR="00000000" w:rsidRPr="00000000">
        <w:rPr>
          <w:rFonts w:ascii="Trebuchet MS" w:cs="Trebuchet MS" w:eastAsia="Trebuchet MS" w:hAnsi="Trebuchet MS"/>
          <w:rtl w:val="0"/>
        </w:rPr>
        <w:t xml:space="preserve">: This Agreement shall be governed by and construed in accordance with the laws of the State.</w:t>
      </w:r>
    </w:p>
    <w:p w:rsidR="00000000" w:rsidDel="00000000" w:rsidP="00000000" w:rsidRDefault="00000000" w:rsidRPr="00000000" w14:paraId="0000002F">
      <w:pPr>
        <w:numPr>
          <w:ilvl w:val="0"/>
          <w:numId w:val="2"/>
        </w:numPr>
        <w:spacing w:after="0" w:afterAutospacing="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Severability</w:t>
      </w:r>
      <w:r w:rsidDel="00000000" w:rsidR="00000000" w:rsidRPr="00000000">
        <w:rPr>
          <w:rFonts w:ascii="Trebuchet MS" w:cs="Trebuchet MS" w:eastAsia="Trebuchet MS" w:hAnsi="Trebuchet MS"/>
          <w:rtl w:val="0"/>
        </w:rPr>
        <w:t xml:space="preserve">: If any provision of this Agreement is found to be invalid or unenforceable, the remainder of the Agreement shall continue in full force and effect.</w:t>
      </w:r>
    </w:p>
    <w:p w:rsidR="00000000" w:rsidDel="00000000" w:rsidP="00000000" w:rsidRDefault="00000000" w:rsidRPr="00000000" w14:paraId="00000030">
      <w:pPr>
        <w:numPr>
          <w:ilvl w:val="0"/>
          <w:numId w:val="2"/>
        </w:numPr>
        <w:spacing w:after="24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No Waiver</w:t>
      </w:r>
      <w:r w:rsidDel="00000000" w:rsidR="00000000" w:rsidRPr="00000000">
        <w:rPr>
          <w:rFonts w:ascii="Trebuchet MS" w:cs="Trebuchet MS" w:eastAsia="Trebuchet MS" w:hAnsi="Trebuchet MS"/>
          <w:rtl w:val="0"/>
        </w:rPr>
        <w:t xml:space="preserve">: The failure of any party to enforce any provision of this Agreement shall not be deemed a waiver of that provision or any other provision.</w:t>
      </w:r>
    </w:p>
    <w:p w:rsidR="00000000" w:rsidDel="00000000" w:rsidP="00000000" w:rsidRDefault="00000000" w:rsidRPr="00000000" w14:paraId="00000031">
      <w:pPr>
        <w:spacing w:after="240" w:before="24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rFonts w:ascii="Trebuchet MS" w:cs="Trebuchet MS" w:eastAsia="Trebuchet MS" w:hAnsi="Trebuchet MS"/>
          <w:b w:val="1"/>
          <w:color w:val="000000"/>
          <w:sz w:val="26"/>
          <w:szCs w:val="26"/>
        </w:rPr>
      </w:pPr>
      <w:bookmarkStart w:colFirst="0" w:colLast="0" w:name="_7dqrcwdcshxi" w:id="6"/>
      <w:bookmarkEnd w:id="6"/>
      <w:r w:rsidDel="00000000" w:rsidR="00000000" w:rsidRPr="00000000">
        <w:rPr>
          <w:rFonts w:ascii="Trebuchet MS" w:cs="Trebuchet MS" w:eastAsia="Trebuchet MS" w:hAnsi="Trebuchet MS"/>
          <w:b w:val="1"/>
          <w:color w:val="000000"/>
          <w:sz w:val="26"/>
          <w:szCs w:val="26"/>
          <w:rtl w:val="0"/>
        </w:rPr>
        <w:t xml:space="preserve">IN WITNESS WHEREOF, the parties have executed this Collaboration Agreement on the dates indicated below:</w:t>
      </w:r>
    </w:p>
    <w:p w:rsidR="00000000" w:rsidDel="00000000" w:rsidP="00000000" w:rsidRDefault="00000000" w:rsidRPr="00000000" w14:paraId="00000033">
      <w:pPr>
        <w:spacing w:after="240" w:before="24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rPr>
          <w:rFonts w:ascii="Trebuchet MS" w:cs="Trebuchet MS" w:eastAsia="Trebuchet MS" w:hAnsi="Trebuchet MS"/>
        </w:rPr>
      </w:pPr>
      <w:commentRangeStart w:id="8"/>
      <w:r w:rsidDel="00000000" w:rsidR="00000000" w:rsidRPr="00000000">
        <w:rPr>
          <w:rFonts w:ascii="Trebuchet MS" w:cs="Trebuchet MS" w:eastAsia="Trebuchet MS" w:hAnsi="Trebuchet MS"/>
          <w:b w:val="1"/>
          <w:rtl w:val="0"/>
        </w:rPr>
        <w:t xml:space="preserve">County Department</w:t>
      </w:r>
      <w:r w:rsidDel="00000000" w:rsidR="00000000" w:rsidRPr="00000000">
        <w:rPr>
          <w:rFonts w:ascii="Trebuchet MS" w:cs="Trebuchet MS" w:eastAsia="Trebuchet MS" w:hAnsi="Trebuchet MS"/>
          <w:rtl w:val="0"/>
        </w:rPr>
        <w:t xml:space="preserve">:</w:t>
        <w:br w:type="textWrapping"/>
      </w:r>
      <w:commentRangeEnd w:id="8"/>
      <w:r w:rsidDel="00000000" w:rsidR="00000000" w:rsidRPr="00000000">
        <w:commentReference w:id="8"/>
      </w:r>
      <w:r w:rsidDel="00000000" w:rsidR="00000000" w:rsidRPr="00000000">
        <w:rPr>
          <w:rFonts w:ascii="Trebuchet MS" w:cs="Trebuchet MS" w:eastAsia="Trebuchet MS" w:hAnsi="Trebuchet MS"/>
          <w:rtl w:val="0"/>
        </w:rPr>
        <w:t xml:space="preserve">Authorized Signatory: ________________________</w:t>
        <w:br w:type="textWrapping"/>
        <w:t xml:space="preserve">Date: _____________________________________</w:t>
      </w:r>
    </w:p>
    <w:p w:rsidR="00000000" w:rsidDel="00000000" w:rsidP="00000000" w:rsidRDefault="00000000" w:rsidRPr="00000000" w14:paraId="00000035">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Partner County Department</w:t>
      </w:r>
      <w:r w:rsidDel="00000000" w:rsidR="00000000" w:rsidRPr="00000000">
        <w:rPr>
          <w:rFonts w:ascii="Trebuchet MS" w:cs="Trebuchet MS" w:eastAsia="Trebuchet MS" w:hAnsi="Trebuchet MS"/>
          <w:rtl w:val="0"/>
        </w:rPr>
        <w:t xml:space="preserve">:</w:t>
        <w:br w:type="textWrapping"/>
        <w:t xml:space="preserve">Authorized Signatory: ________________________</w:t>
        <w:br w:type="textWrapping"/>
        <w:t xml:space="preserve">Date: _____________________________________</w:t>
      </w:r>
    </w:p>
    <w:p w:rsidR="00000000" w:rsidDel="00000000" w:rsidP="00000000" w:rsidRDefault="00000000" w:rsidRPr="00000000" w14:paraId="00000036">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External Entity</w:t>
      </w:r>
      <w:r w:rsidDel="00000000" w:rsidR="00000000" w:rsidRPr="00000000">
        <w:rPr>
          <w:rFonts w:ascii="Trebuchet MS" w:cs="Trebuchet MS" w:eastAsia="Trebuchet MS" w:hAnsi="Trebuchet MS"/>
          <w:rtl w:val="0"/>
        </w:rPr>
        <w:t xml:space="preserve">:</w:t>
        <w:br w:type="textWrapping"/>
        <w:t xml:space="preserve">Authorized Signatory: ________________________</w:t>
        <w:br w:type="textWrapping"/>
        <w:t xml:space="preserve">Date: _____________________________________</w:t>
      </w:r>
    </w:p>
    <w:p w:rsidR="00000000" w:rsidDel="00000000" w:rsidP="00000000" w:rsidRDefault="00000000" w:rsidRPr="00000000" w14:paraId="00000037">
      <w:pPr>
        <w:spacing w:after="240" w:befor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38">
      <w:pPr>
        <w:rPr>
          <w:rFonts w:ascii="Trebuchet MS" w:cs="Trebuchet MS" w:eastAsia="Trebuchet MS" w:hAnsi="Trebuchet MS"/>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Yesenia Torres" w:id="2" w:date="2025-03-11T15:06:09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can counties agree to what is unknown? Counties hold responsibility for processing timely, not a set quota.</w:t>
      </w:r>
    </w:p>
  </w:comment>
  <w:comment w:author="Yesenia Torres" w:id="7" w:date="2025-03-11T15:14:59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 days would mean consistent renewals, worth considering agreements being at minimum 12 months with option to revoke at any time.</w:t>
      </w:r>
    </w:p>
  </w:comment>
  <w:comment w:author="Yesenia Torres" w:id="0" w:date="2025-03-11T15:01:19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defined as 'eternal entities, having a responsibility to get applicants approved as well? Will these entities also have CBMS access to support facilitation? I am not certain this reads as clear as it can read. I think the second sentence calls out what we expect with this agreement more so and clearly than this first sentence.</w:t>
      </w:r>
    </w:p>
  </w:comment>
  <w:comment w:author="Yesenia Torres" w:id="4" w:date="2025-03-11T15:13:39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and security need to be called out here. I would think, counties would prefer to have HCPF rule citation listed that allows such opportunities to share confidential information as well as calling out instances where a Power of Attorney (POA), Release of Information (ROI), Authorization to Release Information (ARI), or a HIPPA authorization form, or what ever applies.</w:t>
      </w:r>
    </w:p>
  </w:comment>
  <w:comment w:author="Yesenia Torres" w:id="1" w:date="2025-03-11T15:05:11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the expectation, counties will dedicate team members to be 'specific' points of contact? With turnover still being unpredictable, would it make sense to have a 'general point of contact' and not add specifics?</w:t>
      </w:r>
    </w:p>
  </w:comment>
  <w:comment w:author="Yesenia Torres" w:id="3" w:date="2025-03-11T15:07:05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would counties call out reports used in an agreement, I do not see the relevancy of this to partners?</w:t>
      </w:r>
    </w:p>
  </w:comment>
  <w:comment w:author="Arturo Serrano - HCPF" w:id="5" w:date="2025-03-05T19:10:47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and data security</w:t>
      </w:r>
    </w:p>
  </w:comment>
  <w:comment w:author="Aric Bidwell - HCPF" w:id="6" w:date="2025-03-05T19:12:49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https://docs.google.com/document/d/1cwUZfi1P4xw3vWqZDa1IgN8YmlKjSW9yaH31vIy67JQ/edit?tab=t.0</w:t>
      </w:r>
    </w:p>
  </w:comment>
  <w:comment w:author="Yesenia Torres" w:id="8" w:date="2025-03-11T15:15:43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commissioner approval for such agreements be expected by counties, or will county ED have authority to execute these agreements?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